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62FC03" w14:textId="77777777" w:rsidR="00846D68" w:rsidRPr="00533309" w:rsidRDefault="00846D68" w:rsidP="00846D68">
      <w:pPr>
        <w:jc w:val="center"/>
        <w:rPr>
          <w:rFonts w:eastAsia="Calibri"/>
        </w:rPr>
      </w:pPr>
      <w:bookmarkStart w:id="0" w:name="_CITRUS_ITALIC"/>
      <w:bookmarkEnd w:id="0"/>
      <w:r w:rsidRPr="00533309">
        <w:rPr>
          <w:rFonts w:eastAsia="Calibri"/>
        </w:rPr>
        <w:t>UNITED STATES DISTRICT COURT</w:t>
      </w:r>
    </w:p>
    <w:p w14:paraId="756AE151" w14:textId="77777777" w:rsidR="00846D68" w:rsidRPr="00533309" w:rsidRDefault="00846D68" w:rsidP="00846D68">
      <w:pPr>
        <w:jc w:val="center"/>
        <w:rPr>
          <w:rFonts w:eastAsia="Calibri"/>
        </w:rPr>
      </w:pPr>
    </w:p>
    <w:p w14:paraId="2052E5A7" w14:textId="77777777" w:rsidR="00846D68" w:rsidRPr="00533309" w:rsidRDefault="00846D68" w:rsidP="00846D68">
      <w:pPr>
        <w:ind w:left="107"/>
        <w:jc w:val="center"/>
      </w:pPr>
      <w:r w:rsidRPr="00533309">
        <w:rPr>
          <w:rFonts w:eastAsia="Calibri"/>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846D68" w:rsidRPr="00533309" w14:paraId="1BAF7745" w14:textId="77777777" w:rsidTr="00097AA7">
        <w:tc>
          <w:tcPr>
            <w:tcW w:w="4788" w:type="dxa"/>
          </w:tcPr>
          <w:p w14:paraId="2740E9A6" w14:textId="77777777" w:rsidR="00846D68" w:rsidRPr="00533309" w:rsidRDefault="00846D68" w:rsidP="00097AA7">
            <w:pPr>
              <w:rPr>
                <w:rFonts w:eastAsia="Calibri"/>
              </w:rPr>
            </w:pPr>
          </w:p>
        </w:tc>
        <w:tc>
          <w:tcPr>
            <w:tcW w:w="4788" w:type="dxa"/>
          </w:tcPr>
          <w:p w14:paraId="00503EB4" w14:textId="77777777" w:rsidR="00846D68" w:rsidRPr="00533309" w:rsidRDefault="00846D68" w:rsidP="00097AA7">
            <w:pPr>
              <w:rPr>
                <w:rFonts w:eastAsia="Calibri"/>
              </w:rPr>
            </w:pPr>
          </w:p>
          <w:p w14:paraId="2182381D" w14:textId="77777777" w:rsidR="00846D68" w:rsidRPr="00533309" w:rsidRDefault="00846D68" w:rsidP="00097AA7">
            <w:pPr>
              <w:jc w:val="right"/>
              <w:rPr>
                <w:rFonts w:eastAsia="Calibri"/>
              </w:rPr>
            </w:pPr>
          </w:p>
        </w:tc>
      </w:tr>
      <w:tr w:rsidR="00846D68" w:rsidRPr="00533309" w14:paraId="6018B1F2" w14:textId="77777777" w:rsidTr="00097AA7">
        <w:tc>
          <w:tcPr>
            <w:tcW w:w="4788" w:type="dxa"/>
          </w:tcPr>
          <w:p w14:paraId="357F65EA" w14:textId="77777777" w:rsidR="00846D68" w:rsidRPr="00533309" w:rsidRDefault="00846D68" w:rsidP="00097AA7">
            <w:pPr>
              <w:rPr>
                <w:rFonts w:eastAsia="Calibri"/>
              </w:rPr>
            </w:pPr>
          </w:p>
          <w:p w14:paraId="73757F4C" w14:textId="77777777" w:rsidR="00846D68" w:rsidRPr="00533309" w:rsidRDefault="00846D68" w:rsidP="00097AA7">
            <w:pPr>
              <w:rPr>
                <w:rFonts w:eastAsia="Calibri"/>
              </w:rPr>
            </w:pPr>
            <w:r w:rsidRPr="00533309">
              <w:rPr>
                <w:rFonts w:eastAsia="Calibri"/>
              </w:rPr>
              <w:t>OGS TV, INC.</w:t>
            </w:r>
          </w:p>
          <w:p w14:paraId="7DA176C6" w14:textId="77777777" w:rsidR="00846D68" w:rsidRPr="00533309" w:rsidRDefault="00846D68" w:rsidP="00097AA7">
            <w:pPr>
              <w:rPr>
                <w:rFonts w:eastAsia="Calibri"/>
              </w:rPr>
            </w:pPr>
          </w:p>
          <w:p w14:paraId="365686FC" w14:textId="77777777" w:rsidR="00846D68" w:rsidRPr="00533309" w:rsidRDefault="00846D68" w:rsidP="00097AA7">
            <w:pPr>
              <w:ind w:left="2880"/>
              <w:rPr>
                <w:rFonts w:eastAsia="Calibri"/>
              </w:rPr>
            </w:pPr>
            <w:r w:rsidRPr="00533309">
              <w:rPr>
                <w:rFonts w:eastAsia="Calibri"/>
              </w:rPr>
              <w:t>Plaintiff,</w:t>
            </w:r>
          </w:p>
          <w:p w14:paraId="30855188" w14:textId="77777777" w:rsidR="00846D68" w:rsidRPr="00533309" w:rsidRDefault="00846D68" w:rsidP="00097AA7">
            <w:pPr>
              <w:rPr>
                <w:rFonts w:eastAsia="Calibri"/>
              </w:rPr>
            </w:pPr>
          </w:p>
          <w:p w14:paraId="05959C09" w14:textId="77777777" w:rsidR="00846D68" w:rsidRPr="00533309" w:rsidRDefault="00846D68" w:rsidP="00097AA7">
            <w:pPr>
              <w:rPr>
                <w:rFonts w:eastAsia="Calibri"/>
              </w:rPr>
            </w:pPr>
            <w:r w:rsidRPr="00533309">
              <w:rPr>
                <w:rFonts w:eastAsia="Calibri"/>
              </w:rPr>
              <w:t>vs.</w:t>
            </w:r>
          </w:p>
          <w:p w14:paraId="578FBFA3" w14:textId="77777777" w:rsidR="00846D68" w:rsidRPr="00533309" w:rsidRDefault="00846D68" w:rsidP="00097AA7">
            <w:pPr>
              <w:rPr>
                <w:rFonts w:eastAsia="Calibri"/>
              </w:rPr>
            </w:pPr>
          </w:p>
          <w:p w14:paraId="40B7BD29" w14:textId="77777777" w:rsidR="00846D68" w:rsidRPr="00533309" w:rsidRDefault="00846D68" w:rsidP="00097AA7">
            <w:pPr>
              <w:rPr>
                <w:rFonts w:eastAsia="Calibri"/>
              </w:rPr>
            </w:pPr>
            <w:r w:rsidRPr="00533309">
              <w:rPr>
                <w:rFonts w:eastAsia="Calibri"/>
              </w:rPr>
              <w:t>Elizabeth Lime, and TinyTV, Inc.</w:t>
            </w:r>
          </w:p>
          <w:p w14:paraId="63E0ABC7" w14:textId="77777777" w:rsidR="00846D68" w:rsidRPr="00533309" w:rsidRDefault="00846D68" w:rsidP="00097AA7">
            <w:pPr>
              <w:rPr>
                <w:rFonts w:eastAsia="Calibri"/>
              </w:rPr>
            </w:pPr>
          </w:p>
          <w:p w14:paraId="3D2AE1FC" w14:textId="77777777" w:rsidR="00846D68" w:rsidRPr="00533309" w:rsidRDefault="00846D68" w:rsidP="00097AA7">
            <w:pPr>
              <w:ind w:left="2880"/>
              <w:rPr>
                <w:rFonts w:eastAsia="Calibri"/>
              </w:rPr>
            </w:pPr>
            <w:r w:rsidRPr="00533309">
              <w:rPr>
                <w:rFonts w:eastAsia="Calibri"/>
              </w:rPr>
              <w:t>Defendants.</w:t>
            </w:r>
          </w:p>
          <w:p w14:paraId="312C6195" w14:textId="77777777" w:rsidR="00846D68" w:rsidRPr="00533309" w:rsidRDefault="00846D68" w:rsidP="00097AA7">
            <w:pPr>
              <w:jc w:val="right"/>
              <w:rPr>
                <w:rFonts w:eastAsia="Calibri"/>
              </w:rPr>
            </w:pPr>
          </w:p>
        </w:tc>
        <w:tc>
          <w:tcPr>
            <w:tcW w:w="4788" w:type="dxa"/>
            <w:vAlign w:val="center"/>
          </w:tcPr>
          <w:p w14:paraId="0EA84D3A" w14:textId="77777777" w:rsidR="00846D68" w:rsidRPr="00533309" w:rsidRDefault="00846D68" w:rsidP="00097AA7">
            <w:pPr>
              <w:jc w:val="right"/>
              <w:rPr>
                <w:rFonts w:eastAsia="Calibri"/>
              </w:rPr>
            </w:pPr>
            <w:r w:rsidRPr="00533309">
              <w:rPr>
                <w:rFonts w:eastAsia="Calibri"/>
              </w:rPr>
              <w:t>Court File No. 27-CV-12-1234</w:t>
            </w:r>
          </w:p>
          <w:p w14:paraId="69A7511B" w14:textId="77777777" w:rsidR="00846D68" w:rsidRPr="00533309" w:rsidRDefault="00846D68" w:rsidP="00097AA7">
            <w:pPr>
              <w:jc w:val="right"/>
              <w:rPr>
                <w:rFonts w:eastAsia="Calibri"/>
              </w:rPr>
            </w:pPr>
          </w:p>
          <w:p w14:paraId="52DF6B00" w14:textId="77777777" w:rsidR="00846D68" w:rsidRPr="00533309" w:rsidRDefault="00846D68" w:rsidP="00097AA7">
            <w:pPr>
              <w:jc w:val="right"/>
              <w:rPr>
                <w:rFonts w:eastAsia="Calibri"/>
                <w:b/>
              </w:rPr>
            </w:pPr>
            <w:r w:rsidRPr="00533309">
              <w:rPr>
                <w:rFonts w:eastAsia="Calibri"/>
                <w:b/>
              </w:rPr>
              <w:t>MEMORAND</w:t>
            </w:r>
            <w:r w:rsidR="00AD6AB0">
              <w:rPr>
                <w:rFonts w:eastAsia="Calibri"/>
                <w:b/>
              </w:rPr>
              <w:t>UM IN SUPPORT OF THE DEFENDANTS’</w:t>
            </w:r>
            <w:r w:rsidRPr="00533309">
              <w:rPr>
                <w:rFonts w:eastAsia="Calibri"/>
                <w:b/>
              </w:rPr>
              <w:t xml:space="preserve"> MOTION TO DISMISS</w:t>
            </w:r>
          </w:p>
        </w:tc>
      </w:tr>
    </w:tbl>
    <w:p w14:paraId="2E6F6DAD" w14:textId="77777777" w:rsidR="00846D68" w:rsidRPr="00533309" w:rsidRDefault="00846D68" w:rsidP="00846D68">
      <w:pPr>
        <w:ind w:left="107"/>
      </w:pPr>
      <w:r w:rsidRPr="00533309">
        <w:t> </w:t>
      </w:r>
    </w:p>
    <w:p w14:paraId="03CF5ABF" w14:textId="77777777" w:rsidR="00846D68" w:rsidRPr="00533309" w:rsidRDefault="00846D68" w:rsidP="00D543B2">
      <w:pPr>
        <w:spacing w:line="480" w:lineRule="auto"/>
        <w:rPr>
          <w:b/>
          <w:bCs/>
          <w:color w:val="000000"/>
        </w:rPr>
      </w:pPr>
    </w:p>
    <w:p w14:paraId="44D8FD25" w14:textId="77777777" w:rsidR="00BF788C" w:rsidRPr="00533309" w:rsidRDefault="00BF788C" w:rsidP="00D543B2">
      <w:pPr>
        <w:numPr>
          <w:ilvl w:val="0"/>
          <w:numId w:val="8"/>
        </w:numPr>
        <w:tabs>
          <w:tab w:val="num" w:pos="1080"/>
        </w:tabs>
        <w:spacing w:line="480" w:lineRule="auto"/>
        <w:rPr>
          <w:b/>
          <w:bCs/>
          <w:color w:val="000000"/>
        </w:rPr>
      </w:pPr>
      <w:r w:rsidRPr="00533309">
        <w:rPr>
          <w:b/>
          <w:bCs/>
          <w:color w:val="000000"/>
        </w:rPr>
        <w:t xml:space="preserve">INTRODUCTION </w:t>
      </w:r>
    </w:p>
    <w:p w14:paraId="53745147" w14:textId="77777777" w:rsidR="00BF788C" w:rsidRPr="00533309" w:rsidRDefault="00BF788C" w:rsidP="00D543B2">
      <w:pPr>
        <w:spacing w:line="480" w:lineRule="auto"/>
        <w:ind w:left="360"/>
      </w:pPr>
      <w:r w:rsidRPr="00533309">
        <w:t xml:space="preserve"> In this case, OGS TV, Inc. is suing Elizabeth Lime and TinyTV, Inc. for copyright infringement. Plaintiff contends that they are owners of the screenplay ‘Anticipatory Repudiation’, on the basis of a Work-For-Hire agreement Defendant Lime and Plaintiff signed on April 6, 2010. (Compl. ¶21). This agreement was signed after the work had been created by Defendant Lime and delivered to the Plaintiff on April 1, 2010. (Compl. ¶ 24.). However</w:t>
      </w:r>
      <w:r w:rsidR="00BD3750">
        <w:t>,</w:t>
      </w:r>
      <w:r w:rsidRPr="00533309">
        <w:t xml:space="preserve"> because </w:t>
      </w:r>
      <w:bookmarkStart w:id="1" w:name="Psych_Cite_204"/>
      <w:r w:rsidRPr="00533309">
        <w:t>17 U.S.C. § 101</w:t>
      </w:r>
      <w:bookmarkEnd w:id="1"/>
      <w:r w:rsidRPr="00533309">
        <w:t xml:space="preserve"> requires the contract for a work-for-hire be signed before the work is created, Defendant Lime is the author and owner of the screenplay ‘Anticipatory Repudiation’. Because Defendant Lime is the owner of “Anticipatory Repudiation” Plaintiff has failed to state a claim upon which relief can be granted and the Court should dismiss the Plaintiff’s claim. </w:t>
      </w:r>
    </w:p>
    <w:p w14:paraId="305EECA8" w14:textId="77777777" w:rsidR="00BF788C" w:rsidRPr="00533309" w:rsidRDefault="00BF788C" w:rsidP="00D543B2">
      <w:pPr>
        <w:ind w:left="360"/>
      </w:pPr>
    </w:p>
    <w:p w14:paraId="44A9B708" w14:textId="77777777" w:rsidR="00BF788C" w:rsidRPr="00533309" w:rsidRDefault="00BF788C" w:rsidP="00D543B2">
      <w:pPr>
        <w:numPr>
          <w:ilvl w:val="0"/>
          <w:numId w:val="8"/>
        </w:numPr>
        <w:tabs>
          <w:tab w:val="num" w:pos="1080"/>
        </w:tabs>
        <w:spacing w:line="480" w:lineRule="auto"/>
        <w:rPr>
          <w:b/>
          <w:bCs/>
          <w:color w:val="000000"/>
        </w:rPr>
      </w:pPr>
      <w:r w:rsidRPr="00533309">
        <w:rPr>
          <w:b/>
          <w:bCs/>
          <w:color w:val="000000"/>
        </w:rPr>
        <w:t>FACTS</w:t>
      </w:r>
    </w:p>
    <w:p w14:paraId="3DDF8B1E" w14:textId="77777777" w:rsidR="00BF788C" w:rsidRPr="00533309" w:rsidRDefault="00BF788C" w:rsidP="00D543B2">
      <w:pPr>
        <w:ind w:left="360"/>
        <w:rPr>
          <w:b/>
          <w:bCs/>
          <w:color w:val="000000"/>
        </w:rPr>
      </w:pPr>
    </w:p>
    <w:p w14:paraId="43E8D63D" w14:textId="77777777" w:rsidR="00BF788C" w:rsidRPr="00533309" w:rsidRDefault="00BF788C" w:rsidP="00D543B2">
      <w:pPr>
        <w:spacing w:line="480" w:lineRule="auto"/>
        <w:ind w:left="360"/>
      </w:pPr>
      <w:r w:rsidRPr="00533309">
        <w:lastRenderedPageBreak/>
        <w:t xml:space="preserve">Defendant Lime makes her living as a television writer. (Compl. ¶11). She has been a television writer for the last 15 years. </w:t>
      </w:r>
      <w:r w:rsidR="00210E21">
        <w:t>(Compl. ¶11)</w:t>
      </w:r>
      <w:r w:rsidRPr="00533309">
        <w:t xml:space="preserve">. Plaintiff produced a TV show titled </w:t>
      </w:r>
      <w:r w:rsidRPr="00533309">
        <w:rPr>
          <w:i/>
          <w:iCs/>
        </w:rPr>
        <w:t>Lawless Love</w:t>
      </w:r>
      <w:r w:rsidRPr="00533309">
        <w:t>. (</w:t>
      </w:r>
      <w:r w:rsidR="00210E21">
        <w:t>Compl.</w:t>
      </w:r>
      <w:r w:rsidRPr="00533309">
        <w:t>¶ 5)</w:t>
      </w:r>
      <w:r w:rsidR="00210E21">
        <w:t>.</w:t>
      </w:r>
      <w:r w:rsidRPr="00533309">
        <w:t xml:space="preserve"> The Plaintiff had eight writers on staff to write episodes for the program, and had never had an outside writer write for the show until they approached Defendant Lime. (</w:t>
      </w:r>
      <w:r w:rsidR="00210E21">
        <w:t>Compl.</w:t>
      </w:r>
      <w:r w:rsidRPr="00533309">
        <w:t xml:space="preserve"> ¶ 9)</w:t>
      </w:r>
      <w:r w:rsidR="00210E21">
        <w:t>.</w:t>
      </w:r>
    </w:p>
    <w:p w14:paraId="566FC1EB" w14:textId="77777777" w:rsidR="00BF788C" w:rsidRPr="00533309" w:rsidRDefault="00BF788C" w:rsidP="00D543B2">
      <w:pPr>
        <w:spacing w:line="480" w:lineRule="auto"/>
        <w:ind w:left="360" w:firstLine="360"/>
      </w:pPr>
      <w:r w:rsidRPr="00533309">
        <w:t>The Plaintiff met with the Dave Nelson an employee and agent of the Plaintiff on March 27, 2010. (Compl. ¶ 11). During the meeting Defendant Lime orally agreed to prepare a screenplay for the Plaintiff’s show by April 1, 2010. (</w:t>
      </w:r>
      <w:r w:rsidR="00210E21">
        <w:t>Compl.</w:t>
      </w:r>
      <w:r w:rsidR="00097AA7" w:rsidRPr="00533309">
        <w:t xml:space="preserve"> </w:t>
      </w:r>
      <w:r w:rsidRPr="00533309">
        <w:t>¶</w:t>
      </w:r>
      <w:r w:rsidR="00BD3750">
        <w:t xml:space="preserve"> </w:t>
      </w:r>
      <w:r w:rsidRPr="00533309">
        <w:t>13)</w:t>
      </w:r>
      <w:r w:rsidR="00210E21">
        <w:t>.</w:t>
      </w:r>
      <w:r w:rsidRPr="00533309">
        <w:t xml:space="preserve"> The complaint does not allege that any written agreement was signed during the meeting on March 27, 2010. (</w:t>
      </w:r>
      <w:r w:rsidR="00210E21" w:rsidRPr="00210E21">
        <w:t>Compl</w:t>
      </w:r>
      <w:r w:rsidRPr="00533309">
        <w:t>. ¶</w:t>
      </w:r>
      <w:bookmarkStart w:id="2" w:name="id.cb52600bf2e6"/>
      <w:bookmarkEnd w:id="2"/>
      <w:r w:rsidRPr="00533309">
        <w:t>13). The next cont</w:t>
      </w:r>
      <w:r w:rsidR="0011377F">
        <w:t>act Defendant Lime had with P</w:t>
      </w:r>
      <w:r w:rsidRPr="00533309">
        <w:t>laintiff was after she had finished her scre</w:t>
      </w:r>
      <w:r w:rsidR="0011377F">
        <w:t>enplay and submitted it to the Plaintiff</w:t>
      </w:r>
      <w:r w:rsidRPr="00533309">
        <w:t>. (</w:t>
      </w:r>
      <w:r w:rsidR="00210E21">
        <w:t>Compl</w:t>
      </w:r>
      <w:r w:rsidRPr="00533309">
        <w:t xml:space="preserve">. ¶ 21). On April 6, 2010, five days after the work had been completed by Defendant Lime, she went to the office of Plaintiff, where she received her payment for the screenplay and signed Plaintiff’s document labeled ‘Work-Made-For-Hire Agreement’. </w:t>
      </w:r>
      <w:r w:rsidR="00D30DA7">
        <w:t xml:space="preserve">(Compl. ¶ </w:t>
      </w:r>
      <w:r w:rsidR="000460A3">
        <w:t>24</w:t>
      </w:r>
      <w:r w:rsidR="00D30DA7">
        <w:t>).</w:t>
      </w:r>
    </w:p>
    <w:p w14:paraId="186F3375" w14:textId="77777777" w:rsidR="00BF788C" w:rsidRPr="00BF788C" w:rsidRDefault="00BF788C" w:rsidP="00D543B2">
      <w:pPr>
        <w:spacing w:line="480" w:lineRule="auto"/>
        <w:ind w:left="360" w:firstLine="360"/>
        <w:rPr>
          <w:szCs w:val="22"/>
        </w:rPr>
      </w:pPr>
      <w:r w:rsidRPr="00533309">
        <w:t xml:space="preserve"> Plaintiff never produced Defendant</w:t>
      </w:r>
      <w:r w:rsidR="0011377F">
        <w:t xml:space="preserve"> Lime</w:t>
      </w:r>
      <w:r w:rsidRPr="00533309">
        <w:t>’s screenplay, telling her that they didn’t think the story “fit the theme of the show”. (Compl. ¶ 26)</w:t>
      </w:r>
      <w:r w:rsidR="00210E21">
        <w:t>.</w:t>
      </w:r>
      <w:r w:rsidRPr="00533309">
        <w:t xml:space="preserve"> Because the Plaintiff declined to use Defendant Lime’s screenplay, she reused parts of her screenplay in the pilot episode of the show </w:t>
      </w:r>
      <w:r w:rsidRPr="00533309">
        <w:rPr>
          <w:i/>
          <w:iCs/>
        </w:rPr>
        <w:t>The Tin Can</w:t>
      </w:r>
      <w:r w:rsidRPr="00533309">
        <w:t xml:space="preserve"> which she produced along with Co-defendant TinyTV, Inc.</w:t>
      </w:r>
      <w:r w:rsidR="00F772A4">
        <w:t xml:space="preserve"> (Comp. ¶ 28)</w:t>
      </w:r>
    </w:p>
    <w:p w14:paraId="7D15D63C" w14:textId="77777777" w:rsidR="000706E3" w:rsidRPr="00BF788C" w:rsidRDefault="006522AB" w:rsidP="00D543B2">
      <w:pPr>
        <w:pStyle w:val="ListParagraph"/>
        <w:numPr>
          <w:ilvl w:val="0"/>
          <w:numId w:val="8"/>
        </w:numPr>
        <w:jc w:val="left"/>
        <w:rPr>
          <w:rFonts w:ascii="Times New Roman" w:hAnsi="Times New Roman" w:cs="Times New Roman"/>
          <w:b/>
          <w:sz w:val="24"/>
          <w:szCs w:val="24"/>
        </w:rPr>
      </w:pPr>
      <w:r w:rsidRPr="00BF788C">
        <w:rPr>
          <w:rFonts w:ascii="Times New Roman" w:hAnsi="Times New Roman" w:cs="Times New Roman"/>
          <w:b/>
          <w:sz w:val="24"/>
          <w:szCs w:val="24"/>
        </w:rPr>
        <w:t xml:space="preserve">STANDARD OF REVIEW </w:t>
      </w:r>
    </w:p>
    <w:p w14:paraId="49C8A79E" w14:textId="77777777" w:rsidR="000706E3" w:rsidRDefault="006522AB" w:rsidP="00D543B2">
      <w:pPr>
        <w:spacing w:line="480" w:lineRule="auto"/>
        <w:rPr>
          <w:szCs w:val="18"/>
        </w:rPr>
      </w:pPr>
      <w:r w:rsidRPr="006522AB">
        <w:t>The Supreme Court articulated the standard of review for a</w:t>
      </w:r>
      <w:r w:rsidR="009B1D53">
        <w:t xml:space="preserve"> </w:t>
      </w:r>
      <w:bookmarkStart w:id="3" w:name="Psych_Cite_213"/>
      <w:r w:rsidR="00097AA7">
        <w:t>Fed. R. Civ. P. 12(b)(6)</w:t>
      </w:r>
      <w:bookmarkEnd w:id="3"/>
      <w:r w:rsidRPr="006522AB">
        <w:t xml:space="preserve"> motion to dis</w:t>
      </w:r>
      <w:r>
        <w:t xml:space="preserve">miss </w:t>
      </w:r>
      <w:r w:rsidR="00AB4451">
        <w:t>t</w:t>
      </w:r>
      <w:r>
        <w:t>husly: “</w:t>
      </w:r>
      <w:r w:rsidRPr="006522AB">
        <w:t xml:space="preserve"> </w:t>
      </w:r>
      <w:r w:rsidRPr="006522AB">
        <w:rPr>
          <w:szCs w:val="18"/>
          <w:shd w:val="clear" w:color="auto" w:fill="FFFFFF"/>
        </w:rPr>
        <w:t>The pleading must contain something more than a statement of facts that merely creates a suspicion of a legally cognizable right of action</w:t>
      </w:r>
      <w:r w:rsidRPr="006522AB">
        <w:rPr>
          <w:rStyle w:val="apple-converted-space"/>
          <w:szCs w:val="18"/>
          <w:shd w:val="clear" w:color="auto" w:fill="FFFFFF"/>
        </w:rPr>
        <w:t> </w:t>
      </w:r>
      <w:r w:rsidRPr="006522AB">
        <w:rPr>
          <w:szCs w:val="18"/>
          <w:shd w:val="clear" w:color="auto" w:fill="FFFFFF"/>
        </w:rPr>
        <w:t>on the assumption that all the allegations in the complaint are true.</w:t>
      </w:r>
      <w:r>
        <w:rPr>
          <w:szCs w:val="18"/>
          <w:shd w:val="clear" w:color="auto" w:fill="FFFFFF"/>
        </w:rPr>
        <w:t xml:space="preserve">” </w:t>
      </w:r>
      <w:r w:rsidRPr="006522AB">
        <w:rPr>
          <w:szCs w:val="18"/>
        </w:rPr>
        <w:t xml:space="preserve"> </w:t>
      </w:r>
      <w:bookmarkStart w:id="4" w:name="Psych_Cite_159"/>
      <w:r w:rsidRPr="00533309">
        <w:rPr>
          <w:i/>
          <w:szCs w:val="18"/>
        </w:rPr>
        <w:t>Bell Atl. Corp. v. Twombly</w:t>
      </w:r>
      <w:r w:rsidRPr="004C7CEF">
        <w:rPr>
          <w:szCs w:val="18"/>
        </w:rPr>
        <w:t>, 550 U.S. 544, 555 (2007)</w:t>
      </w:r>
      <w:bookmarkEnd w:id="4"/>
      <w:r>
        <w:rPr>
          <w:szCs w:val="18"/>
        </w:rPr>
        <w:t>. For the purposes of this Memorandum we will assume that all of the allegations in the compla</w:t>
      </w:r>
      <w:r w:rsidR="009B1D53">
        <w:rPr>
          <w:szCs w:val="18"/>
        </w:rPr>
        <w:t xml:space="preserve">int are </w:t>
      </w:r>
      <w:r w:rsidR="009B1D53">
        <w:rPr>
          <w:szCs w:val="18"/>
        </w:rPr>
        <w:lastRenderedPageBreak/>
        <w:t>true, and show that the Plaintiff’s</w:t>
      </w:r>
      <w:r>
        <w:rPr>
          <w:szCs w:val="18"/>
        </w:rPr>
        <w:t xml:space="preserve"> allegations</w:t>
      </w:r>
      <w:r w:rsidR="009B1D53">
        <w:rPr>
          <w:szCs w:val="18"/>
        </w:rPr>
        <w:t>,</w:t>
      </w:r>
      <w:r>
        <w:rPr>
          <w:szCs w:val="18"/>
        </w:rPr>
        <w:t xml:space="preserve"> taken as true</w:t>
      </w:r>
      <w:r w:rsidR="009B1D53">
        <w:rPr>
          <w:szCs w:val="18"/>
        </w:rPr>
        <w:t xml:space="preserve">, do not </w:t>
      </w:r>
      <w:r>
        <w:rPr>
          <w:szCs w:val="18"/>
        </w:rPr>
        <w:t xml:space="preserve">give rise to a legally cognizable right of action. </w:t>
      </w:r>
    </w:p>
    <w:p w14:paraId="31D340ED" w14:textId="77777777" w:rsidR="00846D68" w:rsidRPr="00846D68" w:rsidRDefault="00846D68" w:rsidP="00D543B2">
      <w:pPr>
        <w:pStyle w:val="ListParagraph"/>
        <w:numPr>
          <w:ilvl w:val="0"/>
          <w:numId w:val="8"/>
        </w:numPr>
        <w:spacing w:line="480" w:lineRule="auto"/>
        <w:jc w:val="left"/>
        <w:rPr>
          <w:rFonts w:ascii="Times New Roman" w:hAnsi="Times New Roman" w:cs="Times New Roman"/>
          <w:i/>
          <w:sz w:val="24"/>
          <w:szCs w:val="22"/>
        </w:rPr>
      </w:pPr>
      <w:r>
        <w:rPr>
          <w:rFonts w:ascii="Times New Roman" w:hAnsi="Times New Roman" w:cs="Times New Roman"/>
          <w:b/>
          <w:sz w:val="24"/>
          <w:szCs w:val="22"/>
        </w:rPr>
        <w:t xml:space="preserve">ARGUMENTS </w:t>
      </w:r>
    </w:p>
    <w:p w14:paraId="106E867D" w14:textId="77777777" w:rsidR="00C058B8" w:rsidRDefault="00846D68" w:rsidP="00D543B2">
      <w:pPr>
        <w:pStyle w:val="ListParagraph"/>
        <w:numPr>
          <w:ilvl w:val="1"/>
          <w:numId w:val="8"/>
        </w:numPr>
        <w:jc w:val="left"/>
        <w:rPr>
          <w:rFonts w:ascii="Times New Roman" w:hAnsi="Times New Roman" w:cs="Times New Roman"/>
          <w:sz w:val="24"/>
          <w:szCs w:val="24"/>
        </w:rPr>
      </w:pPr>
      <w:r>
        <w:rPr>
          <w:rFonts w:ascii="Times New Roman" w:hAnsi="Times New Roman" w:cs="Times New Roman"/>
          <w:sz w:val="24"/>
          <w:szCs w:val="24"/>
        </w:rPr>
        <w:t xml:space="preserve">The Plain Language Reading of </w:t>
      </w:r>
      <w:bookmarkStart w:id="5" w:name="Psych_Cite_217"/>
      <w:r>
        <w:rPr>
          <w:rFonts w:ascii="Times New Roman" w:hAnsi="Times New Roman" w:cs="Times New Roman"/>
          <w:sz w:val="24"/>
          <w:szCs w:val="24"/>
        </w:rPr>
        <w:t>17 U.S.C. §101</w:t>
      </w:r>
      <w:bookmarkEnd w:id="5"/>
      <w:r>
        <w:rPr>
          <w:rFonts w:ascii="Times New Roman" w:hAnsi="Times New Roman" w:cs="Times New Roman"/>
          <w:sz w:val="24"/>
          <w:szCs w:val="24"/>
        </w:rPr>
        <w:t xml:space="preserve"> Requires a Written Instrument Be Signed Before the Work is Created</w:t>
      </w:r>
      <w:r w:rsidR="00921687" w:rsidRPr="00846D68">
        <w:rPr>
          <w:rFonts w:ascii="Times New Roman" w:hAnsi="Times New Roman" w:cs="Times New Roman"/>
          <w:sz w:val="24"/>
          <w:szCs w:val="24"/>
        </w:rPr>
        <w:t xml:space="preserve"> </w:t>
      </w:r>
    </w:p>
    <w:p w14:paraId="7B2A1A56" w14:textId="77777777" w:rsidR="005D6DE3" w:rsidRPr="000F1240" w:rsidRDefault="005851EE" w:rsidP="00917EC5">
      <w:pPr>
        <w:spacing w:line="480" w:lineRule="auto"/>
      </w:pPr>
      <w:r>
        <w:t>“</w:t>
      </w:r>
      <w:r w:rsidRPr="005851EE">
        <w:t>There is, of course, no more persuasive evidence of the purpose of a statute than the words by which the legislature undertook to give expression to its wishes.</w:t>
      </w:r>
      <w:r>
        <w:t xml:space="preserve">” </w:t>
      </w:r>
      <w:r w:rsidR="005D0245" w:rsidRPr="005D0245">
        <w:rPr>
          <w:i/>
        </w:rPr>
        <w:t>United States v. Am. Trucking Ass'ns, Inc.</w:t>
      </w:r>
      <w:r w:rsidR="005D0245" w:rsidRPr="005D0245">
        <w:t>, 310 U.S. 534, 543 (1940)</w:t>
      </w:r>
      <w:r>
        <w:t xml:space="preserve">. The starting point for any question of statutory interpretation is always the text. </w:t>
      </w:r>
      <w:r w:rsidRPr="005D0245">
        <w:rPr>
          <w:i/>
        </w:rPr>
        <w:t>Bailey v. United States</w:t>
      </w:r>
      <w:r w:rsidRPr="005D0245">
        <w:t>, 516 U.S. 137, 144 (1995)</w:t>
      </w:r>
      <w:r>
        <w:t xml:space="preserve">. </w:t>
      </w:r>
      <w:bookmarkStart w:id="6" w:name="Psych_Cite_221"/>
      <w:r w:rsidR="0011377F">
        <w:t>17 U.S.C. §101</w:t>
      </w:r>
      <w:bookmarkEnd w:id="6"/>
      <w:r w:rsidR="0011377F">
        <w:t xml:space="preserve"> States</w:t>
      </w:r>
      <w:r w:rsidR="00AB5B8E" w:rsidRPr="000F1240">
        <w:t xml:space="preserve"> that a “work made for hire” that is specially ordered or commissioned</w:t>
      </w:r>
      <w:r w:rsidR="0021035D">
        <w:t xml:space="preserve"> is created,</w:t>
      </w:r>
      <w:r w:rsidR="00AB5B8E" w:rsidRPr="000F1240">
        <w:t xml:space="preserve"> “if the parties expressly agree in a written instrument signed by them that the work shall be considered a work made for hire.”</w:t>
      </w:r>
      <w:r w:rsidR="0021035D">
        <w:t xml:space="preserve"> </w:t>
      </w:r>
      <w:bookmarkStart w:id="7" w:name="Psych_Cite_222"/>
      <w:r w:rsidR="0021035D">
        <w:t>17 U.S.C. §101</w:t>
      </w:r>
      <w:bookmarkEnd w:id="7"/>
      <w:r w:rsidR="0021035D">
        <w:t>.</w:t>
      </w:r>
      <w:r w:rsidR="00AB5B8E" w:rsidRPr="000F1240">
        <w:t xml:space="preserve"> Both the text of </w:t>
      </w:r>
      <w:bookmarkStart w:id="8" w:name="Psych_Cite_223"/>
      <w:r w:rsidR="0021035D" w:rsidRPr="0021035D">
        <w:t>17 U.S.C. §101</w:t>
      </w:r>
      <w:bookmarkEnd w:id="8"/>
      <w:r>
        <w:t xml:space="preserve"> and the structure of </w:t>
      </w:r>
      <w:bookmarkStart w:id="9" w:name="Psych_Cite_224"/>
      <w:r>
        <w:t>17 U.S.C</w:t>
      </w:r>
      <w:bookmarkEnd w:id="9"/>
      <w:r>
        <w:t xml:space="preserve">. </w:t>
      </w:r>
      <w:r w:rsidR="00AB5B8E" w:rsidRPr="000F1240">
        <w:t xml:space="preserve">make it clear that the </w:t>
      </w:r>
      <w:r w:rsidR="0011377F">
        <w:t xml:space="preserve">signed written agreement must precede the creation of the work in order for a valid “work made for hire” agreement to be created. </w:t>
      </w:r>
      <w:r w:rsidR="00C04727" w:rsidRPr="000F1240">
        <w:t xml:space="preserve">  </w:t>
      </w:r>
    </w:p>
    <w:p w14:paraId="19414689" w14:textId="77777777" w:rsidR="008E5D78" w:rsidRDefault="007F34D9" w:rsidP="00917EC5">
      <w:pPr>
        <w:spacing w:after="240" w:line="480" w:lineRule="auto"/>
        <w:ind w:firstLine="720"/>
      </w:pPr>
      <w:r w:rsidRPr="000F1240">
        <w:t xml:space="preserve">The use of verb tense is significant in construing statutes. </w:t>
      </w:r>
      <w:bookmarkStart w:id="10" w:name="Psych_Cite_163"/>
      <w:r w:rsidRPr="00533309">
        <w:rPr>
          <w:i/>
        </w:rPr>
        <w:t>United States v. Wilson</w:t>
      </w:r>
      <w:r w:rsidRPr="004C7CEF">
        <w:t>, 503 U.S. 329, 333 (1992)</w:t>
      </w:r>
      <w:bookmarkEnd w:id="10"/>
      <w:r w:rsidRPr="000F1240">
        <w:t xml:space="preserve">. </w:t>
      </w:r>
      <w:r w:rsidR="00CC0C06">
        <w:t xml:space="preserve">The text of </w:t>
      </w:r>
      <w:bookmarkStart w:id="11" w:name="Psych_Cite_231"/>
      <w:r w:rsidR="00F772A4" w:rsidRPr="0021035D">
        <w:t>17 U.S.C. §101</w:t>
      </w:r>
      <w:bookmarkEnd w:id="11"/>
      <w:r w:rsidR="00F772A4">
        <w:t xml:space="preserve"> </w:t>
      </w:r>
      <w:r w:rsidR="00CC0C06">
        <w:t>uses the future tense in the phrase</w:t>
      </w:r>
      <w:r w:rsidRPr="000F1240">
        <w:t xml:space="preserve"> “</w:t>
      </w:r>
      <w:r w:rsidR="00F772A4">
        <w:t xml:space="preserve">the work </w:t>
      </w:r>
      <w:r w:rsidRPr="00F772A4">
        <w:rPr>
          <w:i/>
        </w:rPr>
        <w:t>shall be considered</w:t>
      </w:r>
      <w:r w:rsidR="00F772A4">
        <w:t xml:space="preserve"> a work made for hire</w:t>
      </w:r>
      <w:r w:rsidRPr="000F1240">
        <w:t>”</w:t>
      </w:r>
      <w:r w:rsidR="00CC0C06">
        <w:t>.</w:t>
      </w:r>
      <w:r w:rsidRPr="000F1240">
        <w:t xml:space="preserve"> </w:t>
      </w:r>
      <w:r w:rsidR="00CC0C06">
        <w:t xml:space="preserve">This use of the future tense </w:t>
      </w:r>
      <w:r w:rsidRPr="000F1240">
        <w:t>implies that the work has not been created at the time that the written instrument is signed.</w:t>
      </w:r>
      <w:r w:rsidR="00DC071C" w:rsidRPr="000F1240">
        <w:t xml:space="preserve"> Congress could have worded that statute</w:t>
      </w:r>
      <w:r w:rsidR="00AB4451">
        <w:t xml:space="preserve"> to read</w:t>
      </w:r>
      <w:r w:rsidR="00DC071C" w:rsidRPr="000F1240">
        <w:t xml:space="preserve"> “</w:t>
      </w:r>
      <w:r w:rsidR="00B620C4" w:rsidRPr="000F1240">
        <w:t xml:space="preserve">if the parties expressly agree in a written instrument signed by them that </w:t>
      </w:r>
      <w:r w:rsidR="00DC071C" w:rsidRPr="000F1240">
        <w:t>the work is</w:t>
      </w:r>
      <w:r w:rsidR="00B620C4" w:rsidRPr="000F1240">
        <w:t xml:space="preserve"> or will be</w:t>
      </w:r>
      <w:r w:rsidR="00DC071C" w:rsidRPr="000F1240">
        <w:t xml:space="preserve"> a work made for hire” if they wanted to </w:t>
      </w:r>
      <w:r w:rsidR="00B620C4" w:rsidRPr="000F1240">
        <w:t xml:space="preserve">written instruments signed both before and after the agreements to be effective. Instead Congress narrowly worded the statute in a way to imply that writing predates the work, which signals </w:t>
      </w:r>
      <w:r w:rsidR="00F772A4">
        <w:t>Congressional</w:t>
      </w:r>
      <w:r w:rsidR="00B620C4" w:rsidRPr="000F1240">
        <w:t xml:space="preserve"> intent that the writing come before the work.</w:t>
      </w:r>
      <w:r w:rsidR="0035417C">
        <w:t xml:space="preserve"> </w:t>
      </w:r>
    </w:p>
    <w:p w14:paraId="783BC1D2" w14:textId="77777777" w:rsidR="008E5D78" w:rsidRDefault="0035417C" w:rsidP="008E5D78">
      <w:pPr>
        <w:spacing w:after="240" w:line="480" w:lineRule="auto"/>
        <w:ind w:firstLine="720"/>
      </w:pPr>
      <w:r>
        <w:lastRenderedPageBreak/>
        <w:t xml:space="preserve">Compare </w:t>
      </w:r>
      <w:r w:rsidR="00F772A4">
        <w:t xml:space="preserve">the text of </w:t>
      </w:r>
      <w:bookmarkStart w:id="12" w:name="Psych_Cite_238"/>
      <w:r w:rsidR="00F772A4">
        <w:t>17 U.S.C. 101</w:t>
      </w:r>
      <w:bookmarkEnd w:id="12"/>
      <w:r w:rsidR="00F772A4">
        <w:t xml:space="preserve"> </w:t>
      </w:r>
      <w:r>
        <w:t xml:space="preserve">to the text of </w:t>
      </w:r>
      <w:bookmarkStart w:id="13" w:name="Psych_Cite_239"/>
      <w:r>
        <w:t>17 U.S.C §204(a)</w:t>
      </w:r>
      <w:bookmarkEnd w:id="13"/>
      <w:r>
        <w:t xml:space="preserve"> which reads, </w:t>
      </w:r>
      <w:r w:rsidRPr="009D468C">
        <w:t>“</w:t>
      </w:r>
      <w:r w:rsidR="00F4512C" w:rsidRPr="009D468C">
        <w:rPr>
          <w:szCs w:val="23"/>
        </w:rPr>
        <w:t>A transfer of copyright ownership, other than by operation of law,</w:t>
      </w:r>
      <w:r w:rsidR="00F4512C" w:rsidRPr="009D468C">
        <w:rPr>
          <w:rStyle w:val="apple-converted-space"/>
          <w:szCs w:val="23"/>
        </w:rPr>
        <w:t> </w:t>
      </w:r>
      <w:r w:rsidRPr="009D468C">
        <w:t xml:space="preserve">is </w:t>
      </w:r>
      <w:r w:rsidRPr="0035417C">
        <w:t>not valid unless an instrument of conveyance, or a note or memorandum of the transfer, is in writing and signed by the owner of the rights conveyed or such owner's duly authorized agent.</w:t>
      </w:r>
      <w:r>
        <w:t xml:space="preserve">” </w:t>
      </w:r>
      <w:bookmarkStart w:id="14" w:name="Psych_Cite_240"/>
      <w:r>
        <w:t>17 U.S.C. § 204(a)</w:t>
      </w:r>
      <w:bookmarkEnd w:id="14"/>
      <w:r>
        <w:t xml:space="preserve">. The Second Circuit interpreted </w:t>
      </w:r>
      <w:bookmarkStart w:id="15" w:name="Psych_Cite_241"/>
      <w:r>
        <w:t>17 U.S.C. §204(a)</w:t>
      </w:r>
      <w:bookmarkEnd w:id="15"/>
      <w:r>
        <w:t xml:space="preserve"> to </w:t>
      </w:r>
      <w:r w:rsidR="00F4512C">
        <w:t xml:space="preserve">allow a transfer to occur before the execution of the written agreement. </w:t>
      </w:r>
      <w:bookmarkStart w:id="16" w:name="Psych_Cite_166"/>
      <w:r w:rsidR="00F4512C" w:rsidRPr="00F4512C">
        <w:rPr>
          <w:i/>
        </w:rPr>
        <w:t>Eden Toys, Inc. v. Florelee Undergarment Co</w:t>
      </w:r>
      <w:r w:rsidR="00F4512C" w:rsidRPr="00F4512C">
        <w:t>.,</w:t>
      </w:r>
      <w:r w:rsidR="00F4512C">
        <w:t xml:space="preserve"> 697 F.2d 27, 36 (2d Cir. 1982)</w:t>
      </w:r>
      <w:bookmarkEnd w:id="16"/>
      <w:r w:rsidR="00F4512C">
        <w:t xml:space="preserve">. Note that </w:t>
      </w:r>
      <w:bookmarkStart w:id="17" w:name="Psych_Cite_242"/>
      <w:r w:rsidR="00F4512C">
        <w:t>17 U.S.C. § 204(a)</w:t>
      </w:r>
      <w:bookmarkEnd w:id="17"/>
      <w:r w:rsidR="00F4512C">
        <w:t xml:space="preserve"> uses present tense “is not valid”, while </w:t>
      </w:r>
      <w:bookmarkStart w:id="18" w:name="Psych_Cite_243"/>
      <w:r w:rsidR="00F4512C">
        <w:t>17 U.S.C. § 101</w:t>
      </w:r>
      <w:bookmarkEnd w:id="18"/>
      <w:r w:rsidR="00F4512C">
        <w:t xml:space="preserve"> uses the future tense “shall be considered”</w:t>
      </w:r>
      <w:r w:rsidR="00DD597E">
        <w:t xml:space="preserve">. “Is not valid” allows that the transfer has already taken place, but the writing is still required in order for the transfer to satisfy the statute. If the construction in </w:t>
      </w:r>
      <w:bookmarkStart w:id="19" w:name="Psych_Cite_244"/>
      <w:r w:rsidR="00DD597E">
        <w:t>17 U.S.C. §204(a)</w:t>
      </w:r>
      <w:bookmarkEnd w:id="19"/>
      <w:r w:rsidR="00DD597E">
        <w:t xml:space="preserve"> were “shall not be valid”, then the transfer could</w:t>
      </w:r>
      <w:r w:rsidR="00BD3750">
        <w:t xml:space="preserve"> not</w:t>
      </w:r>
      <w:r w:rsidR="00DD597E">
        <w:t xml:space="preserve"> take place until the written agreement were signed. </w:t>
      </w:r>
      <w:r w:rsidR="001C54BE">
        <w:t>When Congress uses different phrases in a statute those phrases should be interpreted differently.</w:t>
      </w:r>
      <w:r w:rsidR="001C54BE" w:rsidRPr="001C54BE">
        <w:rPr>
          <w:u w:val="single"/>
        </w:rPr>
        <w:t xml:space="preserve"> </w:t>
      </w:r>
      <w:bookmarkStart w:id="20" w:name="Psych_Cite_167"/>
      <w:r w:rsidR="001C54BE" w:rsidRPr="001C54BE">
        <w:rPr>
          <w:i/>
        </w:rPr>
        <w:t>Bailey v. United States</w:t>
      </w:r>
      <w:r w:rsidR="001C54BE">
        <w:t xml:space="preserve">, 516 U.S. 137, 145 </w:t>
      </w:r>
      <w:r w:rsidR="001C54BE" w:rsidRPr="001C54BE">
        <w:t>(1995)</w:t>
      </w:r>
      <w:bookmarkEnd w:id="20"/>
      <w:r w:rsidR="001C54BE">
        <w:t xml:space="preserve">. It follows that because Congress used different phrasing in these two sections they meant different things, and the </w:t>
      </w:r>
      <w:r w:rsidR="005851EE">
        <w:t>sections should be interpreted to impose different writing requirements</w:t>
      </w:r>
      <w:r w:rsidR="001C54BE">
        <w:t xml:space="preserve">. </w:t>
      </w:r>
    </w:p>
    <w:p w14:paraId="27877D24" w14:textId="77777777" w:rsidR="00103022" w:rsidRPr="009D23C2" w:rsidRDefault="00B16E45" w:rsidP="008E5D78">
      <w:pPr>
        <w:spacing w:line="480" w:lineRule="auto"/>
        <w:ind w:firstLine="720"/>
      </w:pPr>
      <w:r>
        <w:t>Further</w:t>
      </w:r>
      <w:r w:rsidR="008E5D78">
        <w:t>,</w:t>
      </w:r>
      <w:r>
        <w:t xml:space="preserve"> Congress used the words “expressly agree” in </w:t>
      </w:r>
      <w:bookmarkStart w:id="21" w:name="Psych_Cite_257"/>
      <w:r>
        <w:t xml:space="preserve">17 U.S.C. </w:t>
      </w:r>
      <w:r w:rsidR="008E5D78">
        <w:t>§</w:t>
      </w:r>
      <w:r>
        <w:t>101</w:t>
      </w:r>
      <w:bookmarkEnd w:id="21"/>
      <w:r>
        <w:t xml:space="preserve">, while they did not included that phrase in </w:t>
      </w:r>
      <w:bookmarkStart w:id="22" w:name="Psych_Cite_258"/>
      <w:r>
        <w:t xml:space="preserve">17 U.S.C. </w:t>
      </w:r>
      <w:r w:rsidR="008E5D78">
        <w:t>§</w:t>
      </w:r>
      <w:r>
        <w:t>204</w:t>
      </w:r>
      <w:bookmarkEnd w:id="22"/>
      <w:r>
        <w:t xml:space="preserve">. Interpreting </w:t>
      </w:r>
      <w:bookmarkStart w:id="23" w:name="Psych_Cite_259"/>
      <w:r>
        <w:t xml:space="preserve">17 U.S.C. </w:t>
      </w:r>
      <w:r w:rsidR="008E5D78">
        <w:t>§</w:t>
      </w:r>
      <w:r>
        <w:t>101 and 17</w:t>
      </w:r>
      <w:bookmarkEnd w:id="23"/>
      <w:r>
        <w:t xml:space="preserve"> U.S.C. to impose equally stringent writing requirements would reduce the word “expressly” to mere sur</w:t>
      </w:r>
      <w:r w:rsidR="008E5D78">
        <w:t>plusage, which the Supreme Court is reluctant to do</w:t>
      </w:r>
      <w:r w:rsidR="008E5D78" w:rsidRPr="008E5D78">
        <w:t>.</w:t>
      </w:r>
      <w:r w:rsidR="008E5D78" w:rsidRPr="008E5D78">
        <w:rPr>
          <w:i/>
        </w:rPr>
        <w:t xml:space="preserve"> </w:t>
      </w:r>
      <w:r w:rsidR="008E5D78" w:rsidRPr="005D0245">
        <w:rPr>
          <w:i/>
        </w:rPr>
        <w:t>Duncan v. Walker</w:t>
      </w:r>
      <w:r w:rsidR="008E5D78" w:rsidRPr="005D0245">
        <w:t>, 533 U.S. 167, 174 (2001)</w:t>
      </w:r>
      <w:r w:rsidR="008E5D78">
        <w:t xml:space="preserve">. Because of this surplusage problem it is a better reading of the statute to treat </w:t>
      </w:r>
      <w:bookmarkStart w:id="24" w:name="Psych_Cite_261"/>
      <w:r w:rsidR="008E5D78">
        <w:t>17 U.S.C §101</w:t>
      </w:r>
      <w:bookmarkEnd w:id="24"/>
      <w:r w:rsidR="008E5D78">
        <w:t xml:space="preserve"> as imposing a different and stricter writing requirement than </w:t>
      </w:r>
      <w:bookmarkStart w:id="25" w:name="Psych_Cite_262"/>
      <w:r w:rsidR="008E5D78">
        <w:t>17 U.S.C. §204</w:t>
      </w:r>
      <w:bookmarkEnd w:id="25"/>
      <w:r w:rsidR="008E5D78">
        <w:t xml:space="preserve">, since if Congress wanted the requirement to be interpreted as the same, they could have written the sections using the same language. </w:t>
      </w:r>
    </w:p>
    <w:p w14:paraId="13D89EA1" w14:textId="77777777" w:rsidR="00804996" w:rsidRDefault="005377F0" w:rsidP="00BC588C">
      <w:pPr>
        <w:spacing w:after="240" w:line="480" w:lineRule="auto"/>
        <w:ind w:firstLine="720"/>
      </w:pPr>
      <w:r w:rsidRPr="000F1240">
        <w:lastRenderedPageBreak/>
        <w:t>Statutory language should be construed in light of the stat</w:t>
      </w:r>
      <w:r w:rsidR="005D48E4">
        <w:t>ue as a whole, not in isolation</w:t>
      </w:r>
      <w:r w:rsidR="00921687" w:rsidRPr="000F1240">
        <w:t xml:space="preserve">. </w:t>
      </w:r>
      <w:r w:rsidR="00921687" w:rsidRPr="005D0245">
        <w:rPr>
          <w:i/>
        </w:rPr>
        <w:t>Massachusetts v. Morash</w:t>
      </w:r>
      <w:r w:rsidR="00921687" w:rsidRPr="005D0245">
        <w:t>, 490 U.S. 107, 115 (1989)</w:t>
      </w:r>
      <w:r w:rsidR="00921687" w:rsidRPr="000F1240">
        <w:t>.</w:t>
      </w:r>
      <w:r w:rsidR="00460AC0" w:rsidRPr="000F1240">
        <w:t xml:space="preserve"> The Plaintiff is trying to construe the statute without regard to</w:t>
      </w:r>
      <w:r w:rsidR="002D2ABA">
        <w:t xml:space="preserve"> the different functions of </w:t>
      </w:r>
      <w:bookmarkStart w:id="26" w:name="Psych_Cite_271"/>
      <w:r w:rsidR="002D2ABA">
        <w:t>17 U.S.C.</w:t>
      </w:r>
      <w:r w:rsidR="00460AC0" w:rsidRPr="000F1240">
        <w:t xml:space="preserve"> §204 a</w:t>
      </w:r>
      <w:r w:rsidR="006A42DE" w:rsidRPr="000F1240">
        <w:t>nd</w:t>
      </w:r>
      <w:r w:rsidR="002D2ABA">
        <w:t xml:space="preserve"> 17</w:t>
      </w:r>
      <w:bookmarkEnd w:id="26"/>
      <w:r w:rsidR="002D2ABA">
        <w:t xml:space="preserve"> U.S.C. </w:t>
      </w:r>
      <w:r w:rsidR="006A42DE" w:rsidRPr="000F1240">
        <w:t>§201. The author of the work is the default copyright holder</w:t>
      </w:r>
      <w:r w:rsidR="0021035D">
        <w:t xml:space="preserve"> </w:t>
      </w:r>
      <w:r w:rsidR="00F772A4">
        <w:t xml:space="preserve">m </w:t>
      </w:r>
      <w:r w:rsidR="006A42DE" w:rsidRPr="000F1240">
        <w:t>The Copyright Act of 1976 pro</w:t>
      </w:r>
      <w:r w:rsidR="00F772A4">
        <w:t>vides that copyright ownership “</w:t>
      </w:r>
      <w:r w:rsidR="006A42DE" w:rsidRPr="000F1240">
        <w:t>vests initially in the author or authors of the work.’</w:t>
      </w:r>
      <w:r w:rsidR="00F772A4">
        <w:t xml:space="preserve">’ </w:t>
      </w:r>
      <w:r w:rsidR="00AB4451" w:rsidRPr="00AB4451">
        <w:t xml:space="preserve"> </w:t>
      </w:r>
      <w:bookmarkStart w:id="27" w:name="Psych_Cite_273"/>
      <w:r w:rsidR="00AB4451">
        <w:t>17 U.S.C. § 201(a)</w:t>
      </w:r>
      <w:bookmarkEnd w:id="27"/>
      <w:r w:rsidR="006A42DE" w:rsidRPr="000F1240">
        <w:t xml:space="preserve">. </w:t>
      </w:r>
      <w:r w:rsidR="005851EE">
        <w:t>“</w:t>
      </w:r>
      <w:r w:rsidR="006A42DE" w:rsidRPr="000F1240">
        <w:t>As a general rule, the author is the party who actually creates the work, that is, the person who translates an idea into a fixed, tangible expression en</w:t>
      </w:r>
      <w:r w:rsidR="0021035D">
        <w:t>titled to copyright protection.”</w:t>
      </w:r>
      <w:r w:rsidR="009131C6" w:rsidRPr="009131C6">
        <w:t xml:space="preserve"> </w:t>
      </w:r>
      <w:r w:rsidR="0021035D" w:rsidRPr="005D0245">
        <w:rPr>
          <w:i/>
        </w:rPr>
        <w:t>Cmty. for Creative Non-Violence v. Reid</w:t>
      </w:r>
      <w:r w:rsidR="0021035D" w:rsidRPr="005D0245">
        <w:t>, 490 U.S. 730, 737 (1989)</w:t>
      </w:r>
      <w:r w:rsidR="0021035D">
        <w:t>.</w:t>
      </w:r>
      <w:r w:rsidR="009131C6">
        <w:t xml:space="preserve"> Because there are no allowances made </w:t>
      </w:r>
      <w:r w:rsidR="00B620C4" w:rsidRPr="000F1240">
        <w:t xml:space="preserve">for oral agreements in </w:t>
      </w:r>
      <w:bookmarkStart w:id="28" w:name="Psych_Cite_274"/>
      <w:r w:rsidR="005851EE">
        <w:t>17 U.S.C. § 101</w:t>
      </w:r>
      <w:bookmarkEnd w:id="28"/>
      <w:r w:rsidR="00B620C4" w:rsidRPr="000F1240">
        <w:t xml:space="preserve">, </w:t>
      </w:r>
      <w:r w:rsidR="006A42DE" w:rsidRPr="000F1240">
        <w:t>when an author creates a work without a written agreement, they become the copyright holder</w:t>
      </w:r>
      <w:r w:rsidR="002D2ABA">
        <w:t xml:space="preserve"> at </w:t>
      </w:r>
      <w:r w:rsidR="003749ED">
        <w:t>the time of creation</w:t>
      </w:r>
      <w:r w:rsidR="006A42DE" w:rsidRPr="000F1240">
        <w:t xml:space="preserve">. Reading the statute to allow “works made for hire” agreements to be signed after the work is created means allowing </w:t>
      </w:r>
      <w:r w:rsidR="003749ED">
        <w:t xml:space="preserve">the </w:t>
      </w:r>
      <w:r w:rsidR="006A42DE" w:rsidRPr="000F1240">
        <w:t>works made for hire</w:t>
      </w:r>
      <w:r w:rsidR="003749ED">
        <w:t xml:space="preserve"> provision</w:t>
      </w:r>
      <w:r w:rsidR="006A42DE" w:rsidRPr="000F1240">
        <w:t xml:space="preserve"> to become a method for </w:t>
      </w:r>
      <w:r w:rsidR="006A42DE" w:rsidRPr="000F1240">
        <w:rPr>
          <w:i/>
        </w:rPr>
        <w:t xml:space="preserve">transferring </w:t>
      </w:r>
      <w:r w:rsidR="006A42DE" w:rsidRPr="000F1240">
        <w:t>ownership of a copyright.</w:t>
      </w:r>
      <w:r w:rsidR="001E0493" w:rsidRPr="000F1240">
        <w:t xml:space="preserve"> The</w:t>
      </w:r>
      <w:r w:rsidR="00F83375" w:rsidRPr="000F1240">
        <w:t>re i</w:t>
      </w:r>
      <w:r w:rsidR="00460AC0" w:rsidRPr="000F1240">
        <w:t xml:space="preserve">s </w:t>
      </w:r>
      <w:r w:rsidR="001E0493" w:rsidRPr="000F1240">
        <w:t>already</w:t>
      </w:r>
      <w:r w:rsidR="00460AC0" w:rsidRPr="000F1240">
        <w:t xml:space="preserve"> a mechanism </w:t>
      </w:r>
      <w:r w:rsidR="001E0493" w:rsidRPr="000F1240">
        <w:t>that allows copyrights</w:t>
      </w:r>
      <w:r w:rsidR="00BC588C">
        <w:t xml:space="preserve"> to be transferred, and</w:t>
      </w:r>
      <w:r w:rsidR="001E0493" w:rsidRPr="000F1240">
        <w:t xml:space="preserve"> </w:t>
      </w:r>
      <w:r w:rsidR="00BD3750">
        <w:t>s</w:t>
      </w:r>
      <w:r w:rsidR="003749ED">
        <w:t>tatutes</w:t>
      </w:r>
      <w:r w:rsidR="005F504E">
        <w:t xml:space="preserve"> should not be interpreted in a way that makes some of parts of the statute redundant.</w:t>
      </w:r>
      <w:r w:rsidR="00BC588C">
        <w:t xml:space="preserve"> </w:t>
      </w:r>
      <w:r w:rsidR="005F504E" w:rsidRPr="005D0245">
        <w:rPr>
          <w:i/>
        </w:rPr>
        <w:t>Nat'l Ass'n of Home Builders v. Defenders of Wildlife</w:t>
      </w:r>
      <w:r w:rsidR="005F504E" w:rsidRPr="005D0245">
        <w:t>, 551 U.S. 644, 669 (2007)</w:t>
      </w:r>
      <w:r w:rsidR="005F504E">
        <w:t>.</w:t>
      </w:r>
      <w:r w:rsidR="005F504E" w:rsidRPr="000F1240">
        <w:t xml:space="preserve"> </w:t>
      </w:r>
      <w:r w:rsidR="001E0493" w:rsidRPr="000F1240">
        <w:t xml:space="preserve">Title </w:t>
      </w:r>
      <w:bookmarkStart w:id="29" w:name="Psych_Cite_275"/>
      <w:r w:rsidR="004C7CEF">
        <w:t>17 U.S.C. § 204</w:t>
      </w:r>
      <w:bookmarkEnd w:id="29"/>
      <w:r w:rsidR="00460AC0" w:rsidRPr="000F1240">
        <w:t xml:space="preserve"> allows the author of a copyright to transfer ownership of the copyright after the work has been created, via a signed written instrument.</w:t>
      </w:r>
      <w:r w:rsidR="00F83375" w:rsidRPr="000F1240">
        <w:t xml:space="preserve"> </w:t>
      </w:r>
      <w:r w:rsidRPr="000F1240">
        <w:t xml:space="preserve">Plaintiff would be the owner of the copyright in question if Defendant has signed a </w:t>
      </w:r>
      <w:bookmarkStart w:id="30" w:name="Psych_Cite_276"/>
      <w:r w:rsidR="004C7CEF">
        <w:t>17 U.S.C. § 204</w:t>
      </w:r>
      <w:bookmarkEnd w:id="30"/>
      <w:r w:rsidRPr="000F1240">
        <w:t xml:space="preserve"> transfer of ownership after the </w:t>
      </w:r>
      <w:r w:rsidR="00751693">
        <w:t xml:space="preserve">work had been created, but Plaintiff does </w:t>
      </w:r>
      <w:r w:rsidRPr="000F1240">
        <w:t xml:space="preserve">not contend that the Defendant has signed such an agreement. </w:t>
      </w:r>
      <w:r w:rsidR="00CC0C06">
        <w:t>(Compl. ¶ 24.).</w:t>
      </w:r>
      <w:r w:rsidRPr="000F1240">
        <w:t xml:space="preserve"> </w:t>
      </w:r>
      <w:r w:rsidR="00804996" w:rsidRPr="000F1240">
        <w:t xml:space="preserve">When a work made for hire agreement is signed </w:t>
      </w:r>
      <w:r w:rsidR="00804996" w:rsidRPr="000F1240">
        <w:rPr>
          <w:i/>
        </w:rPr>
        <w:t>prior</w:t>
      </w:r>
      <w:r w:rsidR="00804996" w:rsidRPr="000F1240">
        <w:t xml:space="preserve"> to the creation of the work, there is no </w:t>
      </w:r>
      <w:r w:rsidR="009A1849" w:rsidRPr="000F1240">
        <w:t>redundant transfer</w:t>
      </w:r>
      <w:r w:rsidR="00804996" w:rsidRPr="000F1240">
        <w:t xml:space="preserve"> mechanism. The commissioner of the work made for hire is the author of the work, so when the work is completed the copyright vests in the commissioner of the work. </w:t>
      </w:r>
    </w:p>
    <w:p w14:paraId="784A4414" w14:textId="77777777" w:rsidR="00751693" w:rsidRPr="00751693" w:rsidRDefault="00751693" w:rsidP="00D30DA7">
      <w:pPr>
        <w:spacing w:after="240" w:line="480" w:lineRule="auto"/>
      </w:pPr>
      <w:r>
        <w:lastRenderedPageBreak/>
        <w:tab/>
        <w:t xml:space="preserve">Both the text of </w:t>
      </w:r>
      <w:bookmarkStart w:id="31" w:name="Psych_Cite_291"/>
      <w:r>
        <w:t>17 U.S.C. §101</w:t>
      </w:r>
      <w:bookmarkEnd w:id="31"/>
      <w:r>
        <w:t xml:space="preserve"> and the structure of </w:t>
      </w:r>
      <w:bookmarkStart w:id="32" w:name="Psych_Cite_292"/>
      <w:r>
        <w:t>17 U.S.C</w:t>
      </w:r>
      <w:bookmarkEnd w:id="32"/>
      <w:r>
        <w:t xml:space="preserve">. make plain that the text of the statute requires a written agreement be signed by both parties before the work is created. The Supreme Court held in </w:t>
      </w:r>
      <w:r>
        <w:rPr>
          <w:i/>
        </w:rPr>
        <w:t>La</w:t>
      </w:r>
      <w:r w:rsidR="007E6B1A">
        <w:rPr>
          <w:i/>
        </w:rPr>
        <w:t>mie</w:t>
      </w:r>
      <w:r>
        <w:rPr>
          <w:i/>
        </w:rPr>
        <w:t xml:space="preserve"> v. U.S. Tr.</w:t>
      </w:r>
      <w:r>
        <w:t xml:space="preserve"> </w:t>
      </w:r>
      <w:r w:rsidRPr="00751693">
        <w:t xml:space="preserve">“when the statute's language is plain, the sole function of the courts-at least where the disposition required by the text is not absurd-is to enforce it according to its terms.” </w:t>
      </w:r>
      <w:r w:rsidR="005D0245" w:rsidRPr="005D0245">
        <w:rPr>
          <w:i/>
        </w:rPr>
        <w:t>Lamie v. U.S. Tr.</w:t>
      </w:r>
      <w:r w:rsidR="005D0245">
        <w:t xml:space="preserve">, 540 U.S. 526, 534 (2004) (citing </w:t>
      </w:r>
      <w:r w:rsidR="005D0245" w:rsidRPr="005D0245">
        <w:rPr>
          <w:i/>
        </w:rPr>
        <w:t>Hartford Underwriters Ins. Co. v. Union Planters Bank</w:t>
      </w:r>
      <w:r w:rsidR="005D0245">
        <w:t>, 530 U.S. 1, 6 (2000)</w:t>
      </w:r>
      <w:r w:rsidR="007E6B1A">
        <w:t>) Because</w:t>
      </w:r>
      <w:r>
        <w:t xml:space="preserve"> the statute requires a written agreement </w:t>
      </w:r>
      <w:r w:rsidRPr="00D30DA7">
        <w:rPr>
          <w:i/>
        </w:rPr>
        <w:t>before</w:t>
      </w:r>
      <w:r>
        <w:t xml:space="preserve"> </w:t>
      </w:r>
      <w:r w:rsidR="007E6B1A">
        <w:t>the work</w:t>
      </w:r>
      <w:r w:rsidR="00D30DA7">
        <w:t xml:space="preserve"> is created, and Defendant Lime didn’t sign an agreement until </w:t>
      </w:r>
      <w:r w:rsidR="00D30DA7">
        <w:rPr>
          <w:i/>
        </w:rPr>
        <w:t>after</w:t>
      </w:r>
      <w:r w:rsidR="00D30DA7">
        <w:t xml:space="preserve"> she turned in the screenplay (Compl. ¶</w:t>
      </w:r>
      <w:r>
        <w:t xml:space="preserve"> </w:t>
      </w:r>
      <w:r w:rsidR="00D30DA7">
        <w:t>22), Plaintiff</w:t>
      </w:r>
      <w:r w:rsidR="00BC588C">
        <w:t>’</w:t>
      </w:r>
      <w:r w:rsidR="00D30DA7">
        <w:t>s claim hasn’t met the plain language terms of the statute. Therefore t</w:t>
      </w:r>
      <w:r>
        <w:t xml:space="preserve">he plain </w:t>
      </w:r>
      <w:r w:rsidR="00D30DA7">
        <w:t>language</w:t>
      </w:r>
      <w:r>
        <w:t xml:space="preserve"> of the statute is dispositive and is sufficient for the court to grant Defendants’ </w:t>
      </w:r>
      <w:r w:rsidR="007E6B1A">
        <w:t>motion</w:t>
      </w:r>
      <w:r>
        <w:t xml:space="preserve"> to dismiss. </w:t>
      </w:r>
    </w:p>
    <w:p w14:paraId="542298F1" w14:textId="77777777" w:rsidR="00FA71C4" w:rsidRDefault="00330B3F" w:rsidP="00D543B2">
      <w:pPr>
        <w:pStyle w:val="ListParagraph"/>
        <w:numPr>
          <w:ilvl w:val="1"/>
          <w:numId w:val="8"/>
        </w:numPr>
        <w:jc w:val="left"/>
        <w:rPr>
          <w:rFonts w:ascii="Times New Roman" w:hAnsi="Times New Roman" w:cs="Times New Roman"/>
          <w:sz w:val="24"/>
          <w:szCs w:val="24"/>
        </w:rPr>
      </w:pPr>
      <w:r>
        <w:rPr>
          <w:rFonts w:ascii="Times New Roman" w:hAnsi="Times New Roman" w:cs="Times New Roman"/>
          <w:sz w:val="24"/>
          <w:szCs w:val="24"/>
        </w:rPr>
        <w:t>There is Strong P</w:t>
      </w:r>
      <w:r w:rsidR="00FA71C4" w:rsidRPr="00846D68">
        <w:rPr>
          <w:rFonts w:ascii="Times New Roman" w:hAnsi="Times New Roman" w:cs="Times New Roman"/>
          <w:sz w:val="24"/>
          <w:szCs w:val="24"/>
        </w:rPr>
        <w:t xml:space="preserve">ersuasive </w:t>
      </w:r>
      <w:r>
        <w:rPr>
          <w:rFonts w:ascii="Times New Roman" w:hAnsi="Times New Roman" w:cs="Times New Roman"/>
          <w:sz w:val="24"/>
          <w:szCs w:val="24"/>
        </w:rPr>
        <w:t>P</w:t>
      </w:r>
      <w:r w:rsidR="00FE5C3B" w:rsidRPr="00846D68">
        <w:rPr>
          <w:rFonts w:ascii="Times New Roman" w:hAnsi="Times New Roman" w:cs="Times New Roman"/>
          <w:sz w:val="24"/>
          <w:szCs w:val="24"/>
        </w:rPr>
        <w:t>recedent</w:t>
      </w:r>
      <w:r w:rsidR="00FA71C4" w:rsidRPr="00846D68">
        <w:rPr>
          <w:rFonts w:ascii="Times New Roman" w:hAnsi="Times New Roman" w:cs="Times New Roman"/>
          <w:sz w:val="24"/>
          <w:szCs w:val="24"/>
        </w:rPr>
        <w:t xml:space="preserve"> </w:t>
      </w:r>
      <w:r>
        <w:rPr>
          <w:rFonts w:ascii="Times New Roman" w:hAnsi="Times New Roman" w:cs="Times New Roman"/>
          <w:sz w:val="24"/>
          <w:szCs w:val="24"/>
        </w:rPr>
        <w:t>that a Work Made for Hire R</w:t>
      </w:r>
      <w:r w:rsidR="00923B57" w:rsidRPr="00846D68">
        <w:rPr>
          <w:rFonts w:ascii="Times New Roman" w:hAnsi="Times New Roman" w:cs="Times New Roman"/>
          <w:sz w:val="24"/>
          <w:szCs w:val="24"/>
        </w:rPr>
        <w:t xml:space="preserve">equires a </w:t>
      </w:r>
      <w:r>
        <w:rPr>
          <w:rFonts w:ascii="Times New Roman" w:hAnsi="Times New Roman" w:cs="Times New Roman"/>
          <w:sz w:val="24"/>
          <w:szCs w:val="24"/>
        </w:rPr>
        <w:t>Written I</w:t>
      </w:r>
      <w:r w:rsidR="00923B57" w:rsidRPr="00846D68">
        <w:rPr>
          <w:rFonts w:ascii="Times New Roman" w:hAnsi="Times New Roman" w:cs="Times New Roman"/>
          <w:sz w:val="24"/>
          <w:szCs w:val="24"/>
        </w:rPr>
        <w:t>nstrument t</w:t>
      </w:r>
      <w:r>
        <w:rPr>
          <w:rFonts w:ascii="Times New Roman" w:hAnsi="Times New Roman" w:cs="Times New Roman"/>
          <w:sz w:val="24"/>
          <w:szCs w:val="24"/>
        </w:rPr>
        <w:t>hat is Signed before the Creation of the D</w:t>
      </w:r>
      <w:r w:rsidR="00923B57" w:rsidRPr="00846D68">
        <w:rPr>
          <w:rFonts w:ascii="Times New Roman" w:hAnsi="Times New Roman" w:cs="Times New Roman"/>
          <w:sz w:val="24"/>
          <w:szCs w:val="24"/>
        </w:rPr>
        <w:t>ocument</w:t>
      </w:r>
    </w:p>
    <w:p w14:paraId="4E52421F" w14:textId="77777777" w:rsidR="00330B3F" w:rsidRPr="00330B3F" w:rsidRDefault="00330B3F" w:rsidP="00330B3F">
      <w:pPr>
        <w:spacing w:line="480" w:lineRule="auto"/>
      </w:pPr>
      <w:r>
        <w:t xml:space="preserve">There is a circuit split on the question of whether or not a written instrument </w:t>
      </w:r>
      <w:r w:rsidR="00C5671D">
        <w:t xml:space="preserve">must be signed before or </w:t>
      </w:r>
      <w:r>
        <w:t xml:space="preserve">after the creation of </w:t>
      </w:r>
      <w:r w:rsidR="00C5671D">
        <w:t xml:space="preserve">the work. </w:t>
      </w:r>
      <w:r w:rsidR="005D0245" w:rsidRPr="005D0245">
        <w:rPr>
          <w:i/>
        </w:rPr>
        <w:t>TMTV, Corp. v. Mass Prods.</w:t>
      </w:r>
      <w:r w:rsidR="005D0245">
        <w:t>, 645 F.3d 464, 470 (1st Cir. 2011)</w:t>
      </w:r>
      <w:r w:rsidR="00C5671D">
        <w:t>.  An examination of the relevant cases show that those supporting a rule requiring a written instrument be signed at the time of creation provide a strong persuasive precedent for the Court, while those favoring a rule allowing a written instrument to be signed at some indeterminate point in time</w:t>
      </w:r>
      <w:r w:rsidR="003749ED">
        <w:t xml:space="preserve"> future is</w:t>
      </w:r>
      <w:r w:rsidR="00C5671D">
        <w:t xml:space="preserve"> flawed in a number of ways and fail to provide persuasive precedent for the </w:t>
      </w:r>
      <w:r w:rsidR="003749ED">
        <w:t>C</w:t>
      </w:r>
      <w:r w:rsidR="00C5671D">
        <w:t xml:space="preserve">ourt.  </w:t>
      </w:r>
    </w:p>
    <w:p w14:paraId="44BF80AB" w14:textId="77777777" w:rsidR="00B35FE6" w:rsidRDefault="000F3DA4" w:rsidP="00330B3F">
      <w:pPr>
        <w:spacing w:line="480" w:lineRule="auto"/>
        <w:ind w:firstLine="720"/>
      </w:pPr>
      <w:r>
        <w:t>Schiller</w:t>
      </w:r>
      <w:r w:rsidR="00B35FE6">
        <w:t xml:space="preserve"> </w:t>
      </w:r>
      <w:r>
        <w:t>&amp;</w:t>
      </w:r>
      <w:r w:rsidR="00B35FE6">
        <w:t xml:space="preserve"> </w:t>
      </w:r>
      <w:r>
        <w:t xml:space="preserve">Schmidt Inc. </w:t>
      </w:r>
      <w:r w:rsidR="00B35FE6">
        <w:t xml:space="preserve">(Schiller) </w:t>
      </w:r>
      <w:r>
        <w:t>and Nordisco Corp</w:t>
      </w:r>
      <w:r w:rsidR="00AB4451">
        <w:t>.</w:t>
      </w:r>
      <w:r>
        <w:t xml:space="preserve"> are both companies in the mail-order-</w:t>
      </w:r>
      <w:r w:rsidR="00B35FE6">
        <w:t>catalog</w:t>
      </w:r>
      <w:r>
        <w:t xml:space="preserve"> business. </w:t>
      </w:r>
      <w:r w:rsidR="004C7CEF" w:rsidRPr="005D0245">
        <w:rPr>
          <w:i/>
        </w:rPr>
        <w:t>Schiller &amp; Schmidt v. Nordisco Corp.</w:t>
      </w:r>
      <w:r w:rsidR="004C7CEF" w:rsidRPr="005D0245">
        <w:t>, 969 F.2d 410, 411 (7th Cir. 1992)</w:t>
      </w:r>
      <w:r w:rsidR="00B35FE6">
        <w:t xml:space="preserve">. </w:t>
      </w:r>
      <w:r>
        <w:t>N</w:t>
      </w:r>
      <w:r w:rsidR="00B35FE6">
        <w:t xml:space="preserve">ordisco was formed by former employees of Schiller. </w:t>
      </w:r>
      <w:r w:rsidR="00B35FE6" w:rsidRPr="005D0245">
        <w:rPr>
          <w:i/>
        </w:rPr>
        <w:t>Id.</w:t>
      </w:r>
      <w:r w:rsidR="00B35FE6">
        <w:t xml:space="preserve"> The main issue of the lawsuit is the content of </w:t>
      </w:r>
      <w:r w:rsidR="00AB4451">
        <w:t xml:space="preserve">Nordisco’s </w:t>
      </w:r>
      <w:r w:rsidR="00B35FE6">
        <w:t>first catalog</w:t>
      </w:r>
      <w:r w:rsidR="00AB4451">
        <w:t>, released after its founders left Schiller</w:t>
      </w:r>
      <w:r w:rsidR="00B35FE6">
        <w:t xml:space="preserve">. </w:t>
      </w:r>
      <w:r w:rsidR="004C7CEF" w:rsidRPr="005D0245">
        <w:rPr>
          <w:i/>
        </w:rPr>
        <w:t>Id.</w:t>
      </w:r>
      <w:r w:rsidR="004C7CEF" w:rsidRPr="005D0245">
        <w:t xml:space="preserve"> at 412</w:t>
      </w:r>
      <w:r w:rsidR="00B35FE6">
        <w:t xml:space="preserve">. </w:t>
      </w:r>
      <w:r w:rsidR="00B35FE6">
        <w:rPr>
          <w:i/>
        </w:rPr>
        <w:t xml:space="preserve"> </w:t>
      </w:r>
      <w:r w:rsidR="004C7CEF" w:rsidRPr="004C7CEF">
        <w:t xml:space="preserve"> </w:t>
      </w:r>
      <w:r w:rsidR="00B35FE6" w:rsidRPr="00B35FE6">
        <w:t>About</w:t>
      </w:r>
      <w:r w:rsidR="00B35FE6">
        <w:t xml:space="preserve"> one third of the entries in Nordisco’s catalog appear to be duplicates of entries from Schiller’s </w:t>
      </w:r>
      <w:r w:rsidR="00B35FE6">
        <w:lastRenderedPageBreak/>
        <w:t>catalog including 18 photographs that a Nordisco Employee</w:t>
      </w:r>
      <w:r w:rsidR="00AB4451">
        <w:t xml:space="preserve"> had </w:t>
      </w:r>
      <w:r w:rsidR="00AD6AB0">
        <w:t>commissioned</w:t>
      </w:r>
      <w:r w:rsidR="00AB4451">
        <w:t xml:space="preserve"> for Schiller, while he was employed by Schiller</w:t>
      </w:r>
      <w:r w:rsidR="00D23742">
        <w:t xml:space="preserve">. </w:t>
      </w:r>
      <w:r w:rsidR="00D23742" w:rsidRPr="005D0245">
        <w:rPr>
          <w:i/>
        </w:rPr>
        <w:t>Id.</w:t>
      </w:r>
      <w:r w:rsidR="00D23742">
        <w:rPr>
          <w:i/>
        </w:rPr>
        <w:t xml:space="preserve"> </w:t>
      </w:r>
      <w:r w:rsidR="004C7CEF" w:rsidRPr="004C7CEF">
        <w:t xml:space="preserve"> </w:t>
      </w:r>
      <w:r w:rsidR="008C1421" w:rsidRPr="00D23742">
        <w:t>If</w:t>
      </w:r>
      <w:r w:rsidR="008C1421">
        <w:t xml:space="preserve"> those photographs were commissioned as a work made for hire, than Schiller owns the copyright to them, if not then photographer owns the copyright to the photographs, and may sell them to another party. </w:t>
      </w:r>
    </w:p>
    <w:p w14:paraId="01B7FF0F" w14:textId="77777777" w:rsidR="000F3DA4" w:rsidRPr="004136AD" w:rsidRDefault="008C1421" w:rsidP="004A2EC5">
      <w:pPr>
        <w:spacing w:line="480" w:lineRule="auto"/>
        <w:ind w:firstLine="720"/>
        <w:rPr>
          <w:i/>
        </w:rPr>
      </w:pPr>
      <w:r>
        <w:t xml:space="preserve">The photographer had signed an agreement assigning the works to Schiller </w:t>
      </w:r>
      <w:r w:rsidR="00AB4451">
        <w:t xml:space="preserve">as works for hire </w:t>
      </w:r>
      <w:r>
        <w:t xml:space="preserve">after the photographs were taken. </w:t>
      </w:r>
      <w:r w:rsidR="005D0245" w:rsidRPr="005D0245">
        <w:rPr>
          <w:i/>
        </w:rPr>
        <w:t>Id.</w:t>
      </w:r>
      <w:r w:rsidRPr="00097AA7">
        <w:t xml:space="preserve"> </w:t>
      </w:r>
      <w:r>
        <w:t xml:space="preserve">Judge Posner articulates two separate reasons why a written agreement is required in order for a commissioned work to become a work for hire. </w:t>
      </w:r>
      <w:r w:rsidRPr="005D0245">
        <w:rPr>
          <w:i/>
        </w:rPr>
        <w:t>Id.</w:t>
      </w:r>
      <w:r>
        <w:t xml:space="preserve"> The first is to protec</w:t>
      </w:r>
      <w:r w:rsidR="00AD6AB0">
        <w:t xml:space="preserve">t against false oral agreements, which is the standard rationale for any statute of frauds type requirement. </w:t>
      </w:r>
      <w:r w:rsidR="00AD6AB0" w:rsidRPr="005D0245">
        <w:rPr>
          <w:i/>
        </w:rPr>
        <w:t>Id.</w:t>
      </w:r>
      <w:r>
        <w:t xml:space="preserve"> </w:t>
      </w:r>
      <w:r w:rsidR="00D23742">
        <w:t>The second is due to the need to clearly identify the owner of the copyright in order to make the product marketable.</w:t>
      </w:r>
      <w:r w:rsidR="00AD6AB0">
        <w:t xml:space="preserve"> </w:t>
      </w:r>
      <w:r w:rsidR="00AD6AB0" w:rsidRPr="005D0245">
        <w:rPr>
          <w:i/>
        </w:rPr>
        <w:t>Id.</w:t>
      </w:r>
      <w:r w:rsidR="00D23742">
        <w:t xml:space="preserve"> The creator of the work owns the copyright once the work is created, unless there is a written agreement signed beforehand</w:t>
      </w:r>
      <w:r w:rsidR="00AD6AB0">
        <w:t xml:space="preserve"> to transfer the copyright to someone else.</w:t>
      </w:r>
      <w:r w:rsidR="00736743">
        <w:t xml:space="preserve"> </w:t>
      </w:r>
      <w:r w:rsidR="00736743">
        <w:rPr>
          <w:i/>
        </w:rPr>
        <w:t>Id.</w:t>
      </w:r>
      <w:r w:rsidR="00736743">
        <w:t xml:space="preserve"> At 413. </w:t>
      </w:r>
      <w:r w:rsidR="00AD6AB0">
        <w:t xml:space="preserve"> </w:t>
      </w:r>
      <w:r w:rsidR="00D23742">
        <w:t xml:space="preserve">If a work made for hire agreement could be signed after the creation of the work, it is unclear who would be allowed to market the work in the time period between the works creation and the execution of the written instrument. </w:t>
      </w:r>
      <w:r w:rsidR="004136AD">
        <w:rPr>
          <w:i/>
        </w:rPr>
        <w:t xml:space="preserve"> Id. </w:t>
      </w:r>
      <w:r w:rsidR="005D0245" w:rsidRPr="005D0245">
        <w:t xml:space="preserve"> </w:t>
      </w:r>
      <w:r w:rsidR="00D23742">
        <w:t>This concern about the marketability of the work is what animated Judge Posner’s decision</w:t>
      </w:r>
      <w:r w:rsidR="00AD6AB0">
        <w:t>.</w:t>
      </w:r>
      <w:r w:rsidR="00D23742">
        <w:t xml:space="preserve"> </w:t>
      </w:r>
      <w:r w:rsidR="004136AD">
        <w:rPr>
          <w:i/>
        </w:rPr>
        <w:t xml:space="preserve">Id. </w:t>
      </w:r>
      <w:r w:rsidR="005D0245" w:rsidRPr="005D0245">
        <w:t xml:space="preserve"> </w:t>
      </w:r>
      <w:r w:rsidR="00D23742">
        <w:t xml:space="preserve">The 7th Circuit decided that because the writing was signed after the work was created (the writing was also deficient because Schiller failed to sign it), Schiller didn’t hold the copyright to the photographs, and that the copyright belonged to the Photographer. </w:t>
      </w:r>
      <w:r w:rsidR="00861D6B" w:rsidRPr="00D543B2">
        <w:t xml:space="preserve"> </w:t>
      </w:r>
      <w:r w:rsidR="004136AD">
        <w:rPr>
          <w:i/>
        </w:rPr>
        <w:t>Id.</w:t>
      </w:r>
    </w:p>
    <w:p w14:paraId="0AC09B40" w14:textId="77777777" w:rsidR="00C77BEE" w:rsidRDefault="00736743" w:rsidP="00C77BEE">
      <w:pPr>
        <w:spacing w:after="240" w:line="480" w:lineRule="auto"/>
        <w:ind w:firstLine="720"/>
      </w:pPr>
      <w:r>
        <w:t xml:space="preserve">While there are two separate reasons the writing in </w:t>
      </w:r>
      <w:r>
        <w:rPr>
          <w:i/>
        </w:rPr>
        <w:t>Schiller &amp;</w:t>
      </w:r>
      <w:r w:rsidR="00AD3EC2">
        <w:rPr>
          <w:i/>
        </w:rPr>
        <w:t xml:space="preserve"> Schmidt, Inc</w:t>
      </w:r>
      <w:r>
        <w:rPr>
          <w:i/>
        </w:rPr>
        <w:t>.</w:t>
      </w:r>
      <w:r w:rsidR="00AD3EC2">
        <w:rPr>
          <w:i/>
        </w:rPr>
        <w:t xml:space="preserve"> </w:t>
      </w:r>
      <w:r>
        <w:t xml:space="preserve">are insufficient, the holding that a writing must precede the work is not dicta but an independently sufficient reason that the writing in </w:t>
      </w:r>
      <w:r>
        <w:rPr>
          <w:i/>
        </w:rPr>
        <w:t>Schiller &amp; Schmidt</w:t>
      </w:r>
      <w:r w:rsidR="00AD3EC2">
        <w:rPr>
          <w:i/>
        </w:rPr>
        <w:t>,</w:t>
      </w:r>
      <w:r>
        <w:rPr>
          <w:i/>
        </w:rPr>
        <w:t xml:space="preserve"> </w:t>
      </w:r>
      <w:r w:rsidR="00AD3EC2">
        <w:rPr>
          <w:i/>
        </w:rPr>
        <w:t>Inc.</w:t>
      </w:r>
      <w:r>
        <w:rPr>
          <w:i/>
        </w:rPr>
        <w:t xml:space="preserve"> </w:t>
      </w:r>
      <w:r>
        <w:t xml:space="preserve">is invalid under 17 U.S.C. §101. Judge Posner opens the section on </w:t>
      </w:r>
      <w:r w:rsidR="004136AD">
        <w:t>the time requirement of the statute by saying “</w:t>
      </w:r>
      <w:r w:rsidR="004136AD" w:rsidRPr="004136AD">
        <w:t>The statement also came too late.</w:t>
      </w:r>
      <w:r w:rsidR="004136AD">
        <w:t xml:space="preserve">” </w:t>
      </w:r>
      <w:r w:rsidR="005D0245" w:rsidRPr="005D0245">
        <w:rPr>
          <w:i/>
        </w:rPr>
        <w:t>Schiller &amp; Schmidt, Inc.</w:t>
      </w:r>
      <w:r w:rsidR="005D0245">
        <w:t>, 969 F.2d at 412</w:t>
      </w:r>
      <w:r w:rsidR="004136AD">
        <w:t xml:space="preserve">. Judge Posner is laying out two </w:t>
      </w:r>
      <w:r w:rsidR="004136AD">
        <w:lastRenderedPageBreak/>
        <w:t xml:space="preserve">separate and independently sufficient  reasons the writing in </w:t>
      </w:r>
      <w:r w:rsidR="004136AD">
        <w:rPr>
          <w:i/>
        </w:rPr>
        <w:t>Schiller &amp; Schmidt, Inc</w:t>
      </w:r>
      <w:r w:rsidR="0076765B">
        <w:rPr>
          <w:i/>
        </w:rPr>
        <w:t>.</w:t>
      </w:r>
      <w:r w:rsidR="004136AD">
        <w:rPr>
          <w:i/>
        </w:rPr>
        <w:t xml:space="preserve"> </w:t>
      </w:r>
      <w:r w:rsidR="004136AD">
        <w:t xml:space="preserve">fails, and not merely pontificating on what he thinks 17 U.S.C. §101 means. </w:t>
      </w:r>
    </w:p>
    <w:p w14:paraId="1A108D98" w14:textId="77777777" w:rsidR="00736743" w:rsidRPr="00736743" w:rsidRDefault="003F62BC" w:rsidP="00C5671D">
      <w:pPr>
        <w:spacing w:after="240" w:line="480" w:lineRule="auto"/>
        <w:ind w:firstLine="720"/>
      </w:pPr>
      <w:r w:rsidRPr="003F62BC">
        <w:rPr>
          <w:i/>
        </w:rPr>
        <w:t>Gladwell Gov't Services, Inc. v. County of Marin</w:t>
      </w:r>
      <w:r>
        <w:t xml:space="preserve">  follows </w:t>
      </w:r>
      <w:r>
        <w:rPr>
          <w:i/>
        </w:rPr>
        <w:t xml:space="preserve">Schiller &amp; </w:t>
      </w:r>
      <w:r w:rsidR="007E6B1A">
        <w:rPr>
          <w:i/>
        </w:rPr>
        <w:t>Schmidt</w:t>
      </w:r>
      <w:r>
        <w:rPr>
          <w:i/>
        </w:rPr>
        <w:t>, Inc</w:t>
      </w:r>
      <w:r w:rsidR="0076765B">
        <w:rPr>
          <w:i/>
        </w:rPr>
        <w:t>.</w:t>
      </w:r>
      <w:r w:rsidR="00C77BEE">
        <w:t xml:space="preserve">in finding that that a signed work for hire agreement cannot apply to a work that has already been created. </w:t>
      </w:r>
      <w:r w:rsidR="005D0245" w:rsidRPr="005D0245">
        <w:rPr>
          <w:i/>
        </w:rPr>
        <w:t>Gladwell Gov't Servs. v. County of Marin</w:t>
      </w:r>
      <w:r w:rsidR="005D0245">
        <w:t>, 265 F. App'x 624, 626 (9th Cir. 2008)</w:t>
      </w:r>
      <w:r w:rsidR="00C77BEE">
        <w:t xml:space="preserve">. The Ninth Circuit holds that, beyond the structural and policy reasons enumerated by Judge Posner in </w:t>
      </w:r>
      <w:r w:rsidR="00C77BEE">
        <w:rPr>
          <w:i/>
        </w:rPr>
        <w:t xml:space="preserve">Schiller &amp; </w:t>
      </w:r>
      <w:r w:rsidR="007E6B1A">
        <w:rPr>
          <w:i/>
        </w:rPr>
        <w:t>Schmidt</w:t>
      </w:r>
      <w:r w:rsidR="00C77BEE">
        <w:rPr>
          <w:i/>
        </w:rPr>
        <w:t>, Inc</w:t>
      </w:r>
      <w:r w:rsidR="003F73F6">
        <w:rPr>
          <w:i/>
        </w:rPr>
        <w:t>.</w:t>
      </w:r>
      <w:r w:rsidR="0076765B">
        <w:t>,</w:t>
      </w:r>
      <w:r w:rsidR="00C77BEE">
        <w:rPr>
          <w:i/>
        </w:rPr>
        <w:t xml:space="preserve"> </w:t>
      </w:r>
      <w:r w:rsidR="00C77BEE">
        <w:t>the plain language of 17 U.S.C. §101 requires that the written instrument precede the creation of the work holding, “</w:t>
      </w:r>
      <w:r>
        <w:t>The plain language of the statute indicates that a work-for-hire agreement cannot apply to works that a</w:t>
      </w:r>
      <w:r w:rsidR="00BD3750">
        <w:t>re already in existence. Works ‘</w:t>
      </w:r>
      <w:r>
        <w:t>sp</w:t>
      </w:r>
      <w:r w:rsidR="00BD3750">
        <w:t>ecially ordered or commissioned’</w:t>
      </w:r>
      <w:r>
        <w:t xml:space="preserve"> can only be made </w:t>
      </w:r>
      <w:r w:rsidRPr="00C77BEE">
        <w:rPr>
          <w:rStyle w:val="Emphasis"/>
          <w:b w:val="0"/>
        </w:rPr>
        <w:t>after</w:t>
      </w:r>
      <w:r>
        <w:t xml:space="preserve"> the execution of an express agreement between the parties.” </w:t>
      </w:r>
      <w:r w:rsidR="00C77BEE">
        <w:rPr>
          <w:i/>
        </w:rPr>
        <w:t>Id</w:t>
      </w:r>
      <w:r w:rsidR="00C77BEE">
        <w:t>.</w:t>
      </w:r>
    </w:p>
    <w:p w14:paraId="0814B231" w14:textId="77777777" w:rsidR="00861D6B" w:rsidRPr="00861D6B" w:rsidRDefault="009D3421" w:rsidP="00497ECA">
      <w:pPr>
        <w:spacing w:line="480" w:lineRule="auto"/>
        <w:ind w:firstLine="720"/>
        <w:rPr>
          <w:szCs w:val="18"/>
        </w:rPr>
      </w:pPr>
      <w:r>
        <w:rPr>
          <w:i/>
        </w:rPr>
        <w:t xml:space="preserve">Playboy Enterprises v. Dumas </w:t>
      </w:r>
      <w:r>
        <w:t xml:space="preserve">agrees with </w:t>
      </w:r>
      <w:r>
        <w:rPr>
          <w:i/>
        </w:rPr>
        <w:t xml:space="preserve">Schiller &amp; Schmidt, Inc. </w:t>
      </w:r>
      <w:r>
        <w:t xml:space="preserve">that there must be an agreement that </w:t>
      </w:r>
      <w:r w:rsidR="003F73F6">
        <w:t>a</w:t>
      </w:r>
      <w:r>
        <w:t xml:space="preserve"> work will be a </w:t>
      </w:r>
      <w:r w:rsidR="003F73F6">
        <w:t>“</w:t>
      </w:r>
      <w:r>
        <w:t>work made for hire</w:t>
      </w:r>
      <w:r w:rsidR="003F73F6">
        <w:t>”</w:t>
      </w:r>
      <w:r>
        <w:t xml:space="preserve"> before it is created, saying, </w:t>
      </w:r>
      <w:r w:rsidRPr="009D3421">
        <w:t>“</w:t>
      </w:r>
      <w:r w:rsidRPr="009D3421">
        <w:rPr>
          <w:szCs w:val="18"/>
          <w:shd w:val="clear" w:color="auto" w:fill="FFFFFF"/>
        </w:rPr>
        <w:t>We therefore find that the 1976 Act requires that the parties agree before the creation of the work that it will be a work made for hire.”</w:t>
      </w:r>
      <w:r>
        <w:rPr>
          <w:szCs w:val="18"/>
          <w:shd w:val="clear" w:color="auto" w:fill="FFFFFF"/>
        </w:rPr>
        <w:t xml:space="preserve"> </w:t>
      </w:r>
      <w:r w:rsidR="00097AA7" w:rsidRPr="005D0245">
        <w:rPr>
          <w:i/>
          <w:szCs w:val="18"/>
        </w:rPr>
        <w:t>Playboy Enters. v. Dumas</w:t>
      </w:r>
      <w:r w:rsidR="00097AA7" w:rsidRPr="005D0245">
        <w:rPr>
          <w:szCs w:val="18"/>
        </w:rPr>
        <w:t>, 53 F.3d 549, 559 (2d Cir. 1995)</w:t>
      </w:r>
      <w:r w:rsidR="009D468C">
        <w:rPr>
          <w:szCs w:val="18"/>
        </w:rPr>
        <w:t xml:space="preserve">. </w:t>
      </w:r>
      <w:r w:rsidR="00861D6B" w:rsidRPr="00861D6B">
        <w:rPr>
          <w:szCs w:val="18"/>
        </w:rPr>
        <w:t xml:space="preserve">Here the </w:t>
      </w:r>
      <w:r w:rsidR="004A2EC5">
        <w:rPr>
          <w:szCs w:val="18"/>
        </w:rPr>
        <w:t>Second</w:t>
      </w:r>
      <w:r w:rsidR="00D543B2">
        <w:rPr>
          <w:szCs w:val="18"/>
        </w:rPr>
        <w:t xml:space="preserve"> Circuit</w:t>
      </w:r>
      <w:r w:rsidR="00861D6B" w:rsidRPr="00861D6B">
        <w:rPr>
          <w:szCs w:val="18"/>
        </w:rPr>
        <w:t xml:space="preserve"> is correctly interpreting the intent of Congress in creating the requirements for work made for hire agreements. As the Supreme Court noted in</w:t>
      </w:r>
      <w:r w:rsidR="00861D6B" w:rsidRPr="00861D6B">
        <w:rPr>
          <w:i/>
          <w:szCs w:val="18"/>
        </w:rPr>
        <w:t xml:space="preserve"> Cmty. for Creative Non-Violence, </w:t>
      </w:r>
      <w:r w:rsidR="00FC60D2">
        <w:rPr>
          <w:szCs w:val="18"/>
        </w:rPr>
        <w:t>one of the goals of C</w:t>
      </w:r>
      <w:r w:rsidR="00861D6B" w:rsidRPr="00861D6B">
        <w:rPr>
          <w:szCs w:val="18"/>
        </w:rPr>
        <w:t xml:space="preserve">ongress in the creation of the </w:t>
      </w:r>
      <w:r w:rsidR="00FC60D2">
        <w:rPr>
          <w:szCs w:val="18"/>
        </w:rPr>
        <w:t xml:space="preserve">Copyright Act of 1976 was to enhance the predictability and certainty of copyright ownership. </w:t>
      </w:r>
      <w:r w:rsidR="005D0245" w:rsidRPr="005D0245">
        <w:rPr>
          <w:i/>
        </w:rPr>
        <w:t>Cmty. for Creative Non-Violence</w:t>
      </w:r>
      <w:r w:rsidR="005D0245">
        <w:t>, 490 U.S. at 750</w:t>
      </w:r>
      <w:r w:rsidR="00540423" w:rsidRPr="000F1240">
        <w:t xml:space="preserve">. </w:t>
      </w:r>
      <w:r w:rsidR="00FC60D2">
        <w:rPr>
          <w:szCs w:val="18"/>
        </w:rPr>
        <w:t xml:space="preserve">Allowing a work </w:t>
      </w:r>
      <w:r w:rsidR="004D679E">
        <w:rPr>
          <w:szCs w:val="18"/>
        </w:rPr>
        <w:t>to</w:t>
      </w:r>
      <w:r w:rsidR="00177156">
        <w:rPr>
          <w:szCs w:val="18"/>
        </w:rPr>
        <w:t xml:space="preserve"> be considered a work for hire after its creation would create substantial uncertainty about how the work was to be treated in the period between its creation and transfer to a new author under a work made for hire agreement. However, the</w:t>
      </w:r>
      <w:r w:rsidR="004D679E">
        <w:rPr>
          <w:szCs w:val="18"/>
        </w:rPr>
        <w:t xml:space="preserve"> </w:t>
      </w:r>
      <w:r w:rsidR="003F73F6">
        <w:rPr>
          <w:szCs w:val="18"/>
        </w:rPr>
        <w:t>Second</w:t>
      </w:r>
      <w:r w:rsidR="004D679E">
        <w:rPr>
          <w:szCs w:val="18"/>
        </w:rPr>
        <w:t xml:space="preserve"> Circuit</w:t>
      </w:r>
      <w:r w:rsidR="00177156">
        <w:rPr>
          <w:szCs w:val="18"/>
        </w:rPr>
        <w:t>’</w:t>
      </w:r>
      <w:r w:rsidR="004D679E">
        <w:rPr>
          <w:szCs w:val="18"/>
        </w:rPr>
        <w:t xml:space="preserve">s solution to the problem fails from both a textual </w:t>
      </w:r>
      <w:r w:rsidR="009D468C">
        <w:rPr>
          <w:szCs w:val="18"/>
        </w:rPr>
        <w:t xml:space="preserve">and structural </w:t>
      </w:r>
      <w:r w:rsidR="004D679E">
        <w:rPr>
          <w:szCs w:val="18"/>
        </w:rPr>
        <w:t xml:space="preserve">standpoint. </w:t>
      </w:r>
      <w:r w:rsidR="00FC60D2">
        <w:rPr>
          <w:szCs w:val="18"/>
        </w:rPr>
        <w:t xml:space="preserve"> </w:t>
      </w:r>
      <w:r w:rsidR="00861D6B" w:rsidRPr="00861D6B">
        <w:rPr>
          <w:szCs w:val="18"/>
        </w:rPr>
        <w:t xml:space="preserve"> </w:t>
      </w:r>
    </w:p>
    <w:p w14:paraId="1D04ABF3" w14:textId="77777777" w:rsidR="00861D6B" w:rsidRDefault="00177156" w:rsidP="003749ED">
      <w:pPr>
        <w:spacing w:after="240" w:line="480" w:lineRule="auto"/>
        <w:ind w:firstLine="720"/>
        <w:rPr>
          <w:szCs w:val="18"/>
        </w:rPr>
      </w:pPr>
      <w:r>
        <w:rPr>
          <w:szCs w:val="18"/>
        </w:rPr>
        <w:lastRenderedPageBreak/>
        <w:t xml:space="preserve">The </w:t>
      </w:r>
      <w:r w:rsidR="004D4778">
        <w:rPr>
          <w:szCs w:val="18"/>
        </w:rPr>
        <w:t>Second</w:t>
      </w:r>
      <w:r>
        <w:rPr>
          <w:szCs w:val="18"/>
        </w:rPr>
        <w:t xml:space="preserve"> Circuit</w:t>
      </w:r>
      <w:r w:rsidR="00861D6B" w:rsidRPr="00861D6B">
        <w:rPr>
          <w:szCs w:val="18"/>
        </w:rPr>
        <w:t xml:space="preserve"> </w:t>
      </w:r>
      <w:r w:rsidR="00320D1B">
        <w:rPr>
          <w:szCs w:val="18"/>
        </w:rPr>
        <w:t xml:space="preserve">tries to expand the scope of </w:t>
      </w:r>
      <w:r w:rsidR="00097AA7">
        <w:rPr>
          <w:szCs w:val="18"/>
        </w:rPr>
        <w:t>17 U.S.C. § 101</w:t>
      </w:r>
      <w:r w:rsidR="00320D1B">
        <w:rPr>
          <w:szCs w:val="18"/>
        </w:rPr>
        <w:t xml:space="preserve"> by claiming that it allows for a written agreement to be signed after the creation of the work, if there is an oral agreement before the work is created. </w:t>
      </w:r>
      <w:r w:rsidR="005D0245" w:rsidRPr="005D0245">
        <w:rPr>
          <w:i/>
          <w:szCs w:val="18"/>
        </w:rPr>
        <w:t>Playboy Enters.</w:t>
      </w:r>
      <w:r w:rsidR="005D0245">
        <w:rPr>
          <w:szCs w:val="18"/>
        </w:rPr>
        <w:t>, 53 F.3d at 559</w:t>
      </w:r>
      <w:r w:rsidR="009D468C">
        <w:rPr>
          <w:szCs w:val="18"/>
        </w:rPr>
        <w:t xml:space="preserve">. </w:t>
      </w:r>
      <w:r w:rsidR="00320D1B">
        <w:rPr>
          <w:szCs w:val="18"/>
        </w:rPr>
        <w:t>This subverts the</w:t>
      </w:r>
      <w:r w:rsidR="00FE106A">
        <w:rPr>
          <w:szCs w:val="18"/>
        </w:rPr>
        <w:t xml:space="preserve"> intent of C</w:t>
      </w:r>
      <w:r w:rsidR="00320D1B">
        <w:rPr>
          <w:szCs w:val="18"/>
        </w:rPr>
        <w:t xml:space="preserve">ongress. </w:t>
      </w:r>
      <w:r w:rsidR="00AE25B4">
        <w:t xml:space="preserve">17 U.S.C. §101 </w:t>
      </w:r>
      <w:r w:rsidR="00540423">
        <w:t>only allows for the creation of a work for hire agreement through the signing of a written instrument. There is no mention any other kind of permissible agreement in 17 U.S.C §101</w:t>
      </w:r>
      <w:r w:rsidR="00AE25B4">
        <w:t>, certainly no mention of some sort of oral “placeholder” agreement</w:t>
      </w:r>
      <w:r w:rsidR="009D468C">
        <w:t xml:space="preserve">. </w:t>
      </w:r>
      <w:r w:rsidR="00497ECA">
        <w:t xml:space="preserve">The Supreme Court has strongly cautioned against reading additional elements into a statute this way saying,  “we ordinarily resist reading words or elements into a statute that do not appear on its face.” </w:t>
      </w:r>
      <w:r w:rsidR="00497ECA" w:rsidRPr="005D0245">
        <w:rPr>
          <w:i/>
        </w:rPr>
        <w:t>Bates v. United States</w:t>
      </w:r>
      <w:r w:rsidR="00497ECA" w:rsidRPr="005D0245">
        <w:t>, 522 U.S. 23, 29 (1997)</w:t>
      </w:r>
      <w:r w:rsidR="00497ECA">
        <w:t>.</w:t>
      </w:r>
      <w:r w:rsidR="00497ECA">
        <w:rPr>
          <w:szCs w:val="18"/>
        </w:rPr>
        <w:t xml:space="preserve"> The Second Circuit is trying to add an additional element to the statue, allowing a post creation </w:t>
      </w:r>
      <w:r w:rsidR="0034797A">
        <w:rPr>
          <w:szCs w:val="18"/>
        </w:rPr>
        <w:t xml:space="preserve">written agreement but only if there is a prior oral agreement. </w:t>
      </w:r>
      <w:r w:rsidR="00320D1B">
        <w:rPr>
          <w:szCs w:val="18"/>
        </w:rPr>
        <w:t xml:space="preserve">Since </w:t>
      </w:r>
      <w:r w:rsidR="00FE106A">
        <w:rPr>
          <w:szCs w:val="18"/>
        </w:rPr>
        <w:t>Congress explicitly specified that there be a written agreement,</w:t>
      </w:r>
      <w:r w:rsidR="00540423">
        <w:rPr>
          <w:szCs w:val="18"/>
        </w:rPr>
        <w:t xml:space="preserve"> 17 U.S.C. §101,</w:t>
      </w:r>
      <w:r w:rsidR="00FE106A">
        <w:rPr>
          <w:szCs w:val="18"/>
        </w:rPr>
        <w:t xml:space="preserve"> and thought that predictability and certainty of ownership were important from a policy</w:t>
      </w:r>
      <w:r w:rsidR="0034797A">
        <w:rPr>
          <w:szCs w:val="18"/>
        </w:rPr>
        <w:t xml:space="preserve"> perspective</w:t>
      </w:r>
      <w:r w:rsidR="00FE106A">
        <w:rPr>
          <w:szCs w:val="18"/>
        </w:rPr>
        <w:t>,</w:t>
      </w:r>
      <w:r w:rsidR="00540423" w:rsidRPr="00540423">
        <w:rPr>
          <w:i/>
        </w:rPr>
        <w:t xml:space="preserve"> </w:t>
      </w:r>
      <w:r w:rsidR="005D0245" w:rsidRPr="005D0245">
        <w:rPr>
          <w:i/>
        </w:rPr>
        <w:t>Cmty. for Creative Non-Violence</w:t>
      </w:r>
      <w:r w:rsidR="005D0245">
        <w:t>, 490 U.S. at 750</w:t>
      </w:r>
      <w:r w:rsidR="00540423">
        <w:t xml:space="preserve">, </w:t>
      </w:r>
      <w:r w:rsidR="00FE106A">
        <w:rPr>
          <w:szCs w:val="18"/>
        </w:rPr>
        <w:t xml:space="preserve"> then the most obvious reading of the statute is that the written agreement must take place before the creation of the work. This way Congress’s goals can be realized without trying to read </w:t>
      </w:r>
      <w:r w:rsidR="006E2B32">
        <w:rPr>
          <w:szCs w:val="18"/>
        </w:rPr>
        <w:t xml:space="preserve">any </w:t>
      </w:r>
      <w:r w:rsidR="00FE106A">
        <w:rPr>
          <w:szCs w:val="18"/>
        </w:rPr>
        <w:t xml:space="preserve">additional requirements into the statute. </w:t>
      </w:r>
    </w:p>
    <w:p w14:paraId="57455691" w14:textId="77777777" w:rsidR="00F21D46" w:rsidRDefault="00F21D46" w:rsidP="00540423">
      <w:pPr>
        <w:spacing w:after="240" w:line="480" w:lineRule="auto"/>
        <w:ind w:firstLine="720"/>
        <w:rPr>
          <w:szCs w:val="18"/>
        </w:rPr>
      </w:pPr>
      <w:r>
        <w:rPr>
          <w:szCs w:val="18"/>
        </w:rPr>
        <w:t xml:space="preserve">The </w:t>
      </w:r>
      <w:r w:rsidR="004D4778">
        <w:rPr>
          <w:szCs w:val="18"/>
        </w:rPr>
        <w:t>Second</w:t>
      </w:r>
      <w:r>
        <w:rPr>
          <w:szCs w:val="18"/>
        </w:rPr>
        <w:t xml:space="preserve"> </w:t>
      </w:r>
      <w:r w:rsidR="00540423">
        <w:rPr>
          <w:szCs w:val="18"/>
        </w:rPr>
        <w:t>C</w:t>
      </w:r>
      <w:r>
        <w:rPr>
          <w:szCs w:val="18"/>
        </w:rPr>
        <w:t xml:space="preserve">ircuit </w:t>
      </w:r>
      <w:r w:rsidR="005E2EDC">
        <w:rPr>
          <w:szCs w:val="18"/>
        </w:rPr>
        <w:t>seems to recognize the problems with</w:t>
      </w:r>
      <w:r>
        <w:rPr>
          <w:szCs w:val="18"/>
        </w:rPr>
        <w:t xml:space="preserve"> their reading of the statute, noting that </w:t>
      </w:r>
      <w:r w:rsidRPr="00F21D46">
        <w:rPr>
          <w:szCs w:val="18"/>
          <w:shd w:val="clear" w:color="auto" w:fill="FFFFFF"/>
        </w:rPr>
        <w:t>“Con</w:t>
      </w:r>
      <w:r w:rsidR="00AE25B4">
        <w:rPr>
          <w:szCs w:val="18"/>
          <w:shd w:val="clear" w:color="auto" w:fill="FFFFFF"/>
        </w:rPr>
        <w:t>gress's goal of ‘predictability’</w:t>
      </w:r>
      <w:r w:rsidRPr="00F21D46">
        <w:rPr>
          <w:szCs w:val="18"/>
          <w:shd w:val="clear" w:color="auto" w:fill="FFFFFF"/>
        </w:rPr>
        <w:t xml:space="preserve"> would be thwarted if a hiring party and an independent contractor could enter into a work-for-hire agreement years after a work was created.</w:t>
      </w:r>
      <w:r w:rsidR="00AE25B4">
        <w:rPr>
          <w:szCs w:val="18"/>
          <w:shd w:val="clear" w:color="auto" w:fill="FFFFFF"/>
        </w:rPr>
        <w:t>”</w:t>
      </w:r>
      <w:r w:rsidR="00090CFF">
        <w:rPr>
          <w:szCs w:val="18"/>
          <w:shd w:val="clear" w:color="auto" w:fill="FFFFFF"/>
        </w:rPr>
        <w:t xml:space="preserve"> </w:t>
      </w:r>
      <w:r w:rsidR="005D0245" w:rsidRPr="005D0245">
        <w:rPr>
          <w:i/>
          <w:szCs w:val="18"/>
        </w:rPr>
        <w:t>Playboy Enters.</w:t>
      </w:r>
      <w:r w:rsidR="005D0245">
        <w:rPr>
          <w:szCs w:val="18"/>
        </w:rPr>
        <w:t>, 53 F.3d at 559</w:t>
      </w:r>
      <w:r>
        <w:rPr>
          <w:szCs w:val="18"/>
        </w:rPr>
        <w:t xml:space="preserve">. So while they are allowing work for hire agreement to be signed after the creation of the work, they recognized that this </w:t>
      </w:r>
      <w:r w:rsidR="00090CFF">
        <w:rPr>
          <w:szCs w:val="18"/>
        </w:rPr>
        <w:t>cannot</w:t>
      </w:r>
      <w:r>
        <w:rPr>
          <w:szCs w:val="18"/>
        </w:rPr>
        <w:t xml:space="preserve"> take place at any time after the work is created. </w:t>
      </w:r>
      <w:r w:rsidR="003C7DED">
        <w:rPr>
          <w:szCs w:val="18"/>
        </w:rPr>
        <w:t>The timing of</w:t>
      </w:r>
      <w:r>
        <w:rPr>
          <w:szCs w:val="18"/>
        </w:rPr>
        <w:t xml:space="preserve"> </w:t>
      </w:r>
      <w:r w:rsidR="009D468C">
        <w:rPr>
          <w:szCs w:val="18"/>
        </w:rPr>
        <w:t xml:space="preserve">the signing </w:t>
      </w:r>
      <w:r>
        <w:rPr>
          <w:szCs w:val="18"/>
        </w:rPr>
        <w:t>must be limited somehow</w:t>
      </w:r>
      <w:r w:rsidR="003C7DED">
        <w:rPr>
          <w:szCs w:val="18"/>
        </w:rPr>
        <w:t xml:space="preserve">, but there is nothing in 17 U.S.C. §101 that provides any guidance about when a writing must be signed if </w:t>
      </w:r>
      <w:r w:rsidR="003C7DED">
        <w:rPr>
          <w:szCs w:val="18"/>
        </w:rPr>
        <w:lastRenderedPageBreak/>
        <w:t>you allow it be signed post creation</w:t>
      </w:r>
      <w:r>
        <w:rPr>
          <w:szCs w:val="18"/>
        </w:rPr>
        <w:t xml:space="preserve">. </w:t>
      </w:r>
      <w:r w:rsidR="00540423" w:rsidRPr="00FE5C3B">
        <w:rPr>
          <w:szCs w:val="18"/>
        </w:rPr>
        <w:t xml:space="preserve">The </w:t>
      </w:r>
      <w:r w:rsidR="00497ECA">
        <w:rPr>
          <w:szCs w:val="18"/>
        </w:rPr>
        <w:t>Second</w:t>
      </w:r>
      <w:r w:rsidR="00540423" w:rsidRPr="00FE5C3B">
        <w:rPr>
          <w:szCs w:val="18"/>
        </w:rPr>
        <w:t xml:space="preserve"> Circuit</w:t>
      </w:r>
      <w:r w:rsidR="00540423">
        <w:rPr>
          <w:szCs w:val="18"/>
        </w:rPr>
        <w:t xml:space="preserve"> further</w:t>
      </w:r>
      <w:r w:rsidR="00540423" w:rsidRPr="00FE5C3B">
        <w:rPr>
          <w:szCs w:val="18"/>
        </w:rPr>
        <w:t xml:space="preserve"> telegraphs their </w:t>
      </w:r>
      <w:r w:rsidR="00540423">
        <w:rPr>
          <w:szCs w:val="18"/>
        </w:rPr>
        <w:t>unease</w:t>
      </w:r>
      <w:r w:rsidR="00540423" w:rsidRPr="00FE5C3B">
        <w:rPr>
          <w:szCs w:val="18"/>
        </w:rPr>
        <w:t xml:space="preserve"> with their </w:t>
      </w:r>
      <w:r w:rsidR="00540423">
        <w:rPr>
          <w:szCs w:val="18"/>
        </w:rPr>
        <w:t xml:space="preserve">own </w:t>
      </w:r>
      <w:r w:rsidR="00540423" w:rsidRPr="00FE5C3B">
        <w:rPr>
          <w:szCs w:val="18"/>
        </w:rPr>
        <w:t xml:space="preserve">rule, concluding that </w:t>
      </w:r>
      <w:r w:rsidR="00540423" w:rsidRPr="00FE5C3B">
        <w:t xml:space="preserve">“perhaps this rule needs further testing in the crucible of fact patterns by future cases.” </w:t>
      </w:r>
      <w:r w:rsidR="00540423" w:rsidRPr="00533309">
        <w:rPr>
          <w:i/>
        </w:rPr>
        <w:t>Playboy Enters.</w:t>
      </w:r>
      <w:r w:rsidR="00540423" w:rsidRPr="00097AA7">
        <w:t>, 53 F.3d at 559</w:t>
      </w:r>
      <w:r w:rsidR="00540423" w:rsidRPr="002405C5">
        <w:t xml:space="preserve">, </w:t>
      </w:r>
      <w:r w:rsidR="00540423">
        <w:t>(</w:t>
      </w:r>
      <w:r w:rsidR="00540423" w:rsidRPr="002405C5">
        <w:t xml:space="preserve">citing </w:t>
      </w:r>
      <w:r w:rsidR="00540423" w:rsidRPr="002405C5">
        <w:rPr>
          <w:rStyle w:val="apple-converted-space"/>
          <w:color w:val="252525"/>
        </w:rPr>
        <w:t> </w:t>
      </w:r>
      <w:r w:rsidR="00540423" w:rsidRPr="00533309">
        <w:rPr>
          <w:rStyle w:val="Emphasis"/>
          <w:b w:val="0"/>
        </w:rPr>
        <w:t>Nimmer</w:t>
      </w:r>
      <w:r w:rsidR="00540423" w:rsidRPr="00F21D46">
        <w:rPr>
          <w:rStyle w:val="apple-converted-space"/>
        </w:rPr>
        <w:t> </w:t>
      </w:r>
      <w:r w:rsidR="00540423" w:rsidRPr="00F21D46">
        <w:t>§ 5.03[B][2][b] (1994)</w:t>
      </w:r>
      <w:r w:rsidR="006E2B32">
        <w:t>)</w:t>
      </w:r>
      <w:r w:rsidR="00540423">
        <w:t xml:space="preserve">. </w:t>
      </w:r>
      <w:r>
        <w:rPr>
          <w:szCs w:val="18"/>
        </w:rPr>
        <w:t>The 2nd Circuit is creating a problem that could be solved with a strict reading of the statute. If the written agreement is required before the work is created, there is no reason for hand wringing over how far into the future you are going to allow the work made for hire agreement to be signed</w:t>
      </w:r>
      <w:r w:rsidR="009D468C">
        <w:rPr>
          <w:szCs w:val="18"/>
        </w:rPr>
        <w:t>, and you have a rule that is simple, clear, and easy to follow</w:t>
      </w:r>
      <w:r>
        <w:rPr>
          <w:szCs w:val="18"/>
        </w:rPr>
        <w:t xml:space="preserve">. </w:t>
      </w:r>
    </w:p>
    <w:p w14:paraId="1A16CD3C" w14:textId="77777777" w:rsidR="003C7DED" w:rsidRDefault="003C7DED" w:rsidP="00540423">
      <w:pPr>
        <w:spacing w:line="480" w:lineRule="auto"/>
        <w:ind w:firstLine="720"/>
      </w:pPr>
      <w:r>
        <w:rPr>
          <w:szCs w:val="18"/>
        </w:rPr>
        <w:t xml:space="preserve">The facts of </w:t>
      </w:r>
      <w:r>
        <w:rPr>
          <w:i/>
          <w:szCs w:val="18"/>
        </w:rPr>
        <w:t>TMTV,</w:t>
      </w:r>
      <w:r>
        <w:rPr>
          <w:szCs w:val="18"/>
        </w:rPr>
        <w:t xml:space="preserve"> </w:t>
      </w:r>
      <w:r>
        <w:rPr>
          <w:i/>
          <w:szCs w:val="18"/>
        </w:rPr>
        <w:t>Corp. v. Mass Productions, Inc.</w:t>
      </w:r>
      <w:r w:rsidRPr="004D4778">
        <w:rPr>
          <w:szCs w:val="18"/>
        </w:rPr>
        <w:t>,</w:t>
      </w:r>
      <w:r>
        <w:rPr>
          <w:szCs w:val="18"/>
        </w:rPr>
        <w:t xml:space="preserve"> bear a superficial similarity to the facts assumed in this case. </w:t>
      </w:r>
      <w:r w:rsidR="005D0245" w:rsidRPr="005D0245">
        <w:rPr>
          <w:i/>
        </w:rPr>
        <w:t>TMTV, Corp.</w:t>
      </w:r>
      <w:r w:rsidR="005D0245">
        <w:t>, 645 F.3d 464</w:t>
      </w:r>
      <w:r>
        <w:t xml:space="preserve">.  </w:t>
      </w:r>
      <w:r w:rsidR="00AD3EC2">
        <w:t xml:space="preserve">One </w:t>
      </w:r>
      <w:r>
        <w:t xml:space="preserve">of the main questions in </w:t>
      </w:r>
      <w:r w:rsidR="00AD3EC2">
        <w:rPr>
          <w:i/>
        </w:rPr>
        <w:t xml:space="preserve">TMTV, Corp. </w:t>
      </w:r>
      <w:r>
        <w:t xml:space="preserve">is if the work-for-hire agreements of commissioned scriptwriters are valid even though they were signed after the work was created, even though there was an oral understanding that the works were to be a work made for hire. </w:t>
      </w:r>
      <w:r>
        <w:rPr>
          <w:i/>
        </w:rPr>
        <w:t xml:space="preserve">Id </w:t>
      </w:r>
      <w:r>
        <w:t xml:space="preserve">at 70.  While noting that the district court held that there was a valid work agreement in this case, the First Circuit mentions the circuit split and declines to rule on work for hire grounds saying. </w:t>
      </w:r>
      <w:r>
        <w:rPr>
          <w:szCs w:val="18"/>
        </w:rPr>
        <w:t xml:space="preserve"> “</w:t>
      </w:r>
      <w:r w:rsidRPr="004D4778">
        <w:t>But even assuming that the rights remained with the scriptwriters, before this case began they conveyed (in writing, 17 U.S.C. § 204(a)) whatever rights they had to TMTV. We may rely on this assignment even though the district court did not.</w:t>
      </w:r>
      <w:r>
        <w:t xml:space="preserve">” </w:t>
      </w:r>
      <w:r w:rsidR="00AD3EC2">
        <w:rPr>
          <w:i/>
        </w:rPr>
        <w:t>Id.</w:t>
      </w:r>
      <w:r>
        <w:t xml:space="preserve">  Because the court in </w:t>
      </w:r>
      <w:r>
        <w:rPr>
          <w:i/>
        </w:rPr>
        <w:t xml:space="preserve">TMTV, Corp. v, </w:t>
      </w:r>
      <w:r>
        <w:t xml:space="preserve">declined to rule on the issue before us, it makes poor precedent in this case. </w:t>
      </w:r>
    </w:p>
    <w:p w14:paraId="77CC3CC7" w14:textId="77777777" w:rsidR="005E2EDC" w:rsidRPr="005E2EDC" w:rsidRDefault="005E2EDC" w:rsidP="00540423">
      <w:pPr>
        <w:spacing w:line="480" w:lineRule="auto"/>
        <w:ind w:firstLine="720"/>
      </w:pPr>
      <w:r>
        <w:t>When review</w:t>
      </w:r>
      <w:r w:rsidR="006E2B32">
        <w:t>ing</w:t>
      </w:r>
      <w:r>
        <w:t xml:space="preserve"> the precedents for this case, the Court should recognize that the logic and strength of the arguments in </w:t>
      </w:r>
      <w:r>
        <w:rPr>
          <w:i/>
        </w:rPr>
        <w:t xml:space="preserve">Schiller &amp; Schmidt, Inc. </w:t>
      </w:r>
      <w:r>
        <w:t xml:space="preserve">and </w:t>
      </w:r>
      <w:r w:rsidRPr="003F62BC">
        <w:rPr>
          <w:i/>
        </w:rPr>
        <w:t>G</w:t>
      </w:r>
      <w:r w:rsidR="0076765B">
        <w:rPr>
          <w:i/>
        </w:rPr>
        <w:t xml:space="preserve">ladwell Gov't Services, Inc. </w:t>
      </w:r>
      <w:r>
        <w:t xml:space="preserve">provide much stronger persuasive precedent that </w:t>
      </w:r>
      <w:r w:rsidRPr="00533309">
        <w:rPr>
          <w:i/>
          <w:szCs w:val="18"/>
        </w:rPr>
        <w:t>Playboy Enter</w:t>
      </w:r>
      <w:r w:rsidR="0076765B">
        <w:rPr>
          <w:i/>
          <w:szCs w:val="18"/>
        </w:rPr>
        <w:t>s.</w:t>
      </w:r>
      <w:r w:rsidR="00805D71">
        <w:rPr>
          <w:i/>
          <w:szCs w:val="18"/>
        </w:rPr>
        <w:t xml:space="preserve"> </w:t>
      </w:r>
      <w:r>
        <w:rPr>
          <w:szCs w:val="18"/>
        </w:rPr>
        <w:t xml:space="preserve">which reaches their qualified holding through weak reasoning, or  </w:t>
      </w:r>
      <w:r>
        <w:rPr>
          <w:i/>
        </w:rPr>
        <w:t>TMTV, Corp.</w:t>
      </w:r>
      <w:r w:rsidR="0076765B">
        <w:t>,</w:t>
      </w:r>
      <w:r>
        <w:rPr>
          <w:i/>
        </w:rPr>
        <w:t xml:space="preserve"> </w:t>
      </w:r>
      <w:r>
        <w:t xml:space="preserve">which declined to rule on the issue altogether. </w:t>
      </w:r>
      <w:r w:rsidR="00226BA5">
        <w:t xml:space="preserve">Since Defendant Lime didn’t sign any agreement until </w:t>
      </w:r>
      <w:r w:rsidR="00226BA5" w:rsidRPr="00ED06E7">
        <w:rPr>
          <w:i/>
        </w:rPr>
        <w:t>after</w:t>
      </w:r>
      <w:r w:rsidR="00226BA5">
        <w:t xml:space="preserve"> she had created the work in question, </w:t>
      </w:r>
      <w:r w:rsidR="00226BA5">
        <w:lastRenderedPageBreak/>
        <w:t xml:space="preserve">(Compl. ¶ </w:t>
      </w:r>
      <w:r w:rsidR="000460A3">
        <w:t>24</w:t>
      </w:r>
      <w:r w:rsidR="00226BA5">
        <w:t>), the Court should grant Defendants’ motion to d</w:t>
      </w:r>
      <w:r w:rsidR="00ED06E7">
        <w:t xml:space="preserve">ismiss on the grounds that the persuasive precedent strongly supports the requirement that the work for hire agreement be signed before the creation of the work. </w:t>
      </w:r>
    </w:p>
    <w:p w14:paraId="71449128" w14:textId="77777777" w:rsidR="00FE5C3B" w:rsidRPr="00F21D46" w:rsidRDefault="00FE5C3B" w:rsidP="00D543B2">
      <w:pPr>
        <w:rPr>
          <w:szCs w:val="18"/>
        </w:rPr>
      </w:pPr>
    </w:p>
    <w:p w14:paraId="6E8196E7" w14:textId="77777777" w:rsidR="00533309" w:rsidRPr="00533309" w:rsidRDefault="00D543B2" w:rsidP="00533309">
      <w:pPr>
        <w:pStyle w:val="ListParagraph"/>
        <w:numPr>
          <w:ilvl w:val="1"/>
          <w:numId w:val="8"/>
        </w:numPr>
        <w:jc w:val="left"/>
        <w:rPr>
          <w:rFonts w:ascii="Times New Roman" w:hAnsi="Times New Roman" w:cs="Times New Roman"/>
          <w:sz w:val="24"/>
          <w:szCs w:val="24"/>
        </w:rPr>
      </w:pPr>
      <w:r>
        <w:rPr>
          <w:rFonts w:ascii="Times New Roman" w:hAnsi="Times New Roman" w:cs="Times New Roman"/>
          <w:sz w:val="24"/>
          <w:szCs w:val="24"/>
        </w:rPr>
        <w:t xml:space="preserve">The </w:t>
      </w:r>
      <w:r w:rsidR="002676A3" w:rsidRPr="000F1240">
        <w:rPr>
          <w:rFonts w:ascii="Times New Roman" w:hAnsi="Times New Roman" w:cs="Times New Roman"/>
          <w:sz w:val="24"/>
          <w:szCs w:val="24"/>
        </w:rPr>
        <w:t>Legislative History</w:t>
      </w:r>
      <w:r>
        <w:rPr>
          <w:rFonts w:ascii="Times New Roman" w:hAnsi="Times New Roman" w:cs="Times New Roman"/>
          <w:sz w:val="24"/>
          <w:szCs w:val="24"/>
        </w:rPr>
        <w:t xml:space="preserve"> Shows that Congress Intended the Written Instrument be Signed Before the Creation of the Work </w:t>
      </w:r>
    </w:p>
    <w:p w14:paraId="7C8700FE" w14:textId="77777777" w:rsidR="009D468C" w:rsidRPr="000F1240" w:rsidRDefault="00533309" w:rsidP="00D543B2">
      <w:pPr>
        <w:spacing w:after="240" w:line="480" w:lineRule="auto"/>
      </w:pPr>
      <w:r>
        <w:t>The Copyright A</w:t>
      </w:r>
      <w:r w:rsidR="0047147A" w:rsidRPr="000F1240">
        <w:t xml:space="preserve">ct of 1976 was the </w:t>
      </w:r>
      <w:r>
        <w:t>result</w:t>
      </w:r>
      <w:r w:rsidR="0047147A" w:rsidRPr="000F1240">
        <w:t xml:space="preserve"> of twenty years of attempts to pass a </w:t>
      </w:r>
      <w:r>
        <w:t>Copyright A</w:t>
      </w:r>
      <w:r w:rsidR="0047147A" w:rsidRPr="000F1240">
        <w:t>ct</w:t>
      </w:r>
      <w:r>
        <w:t xml:space="preserve"> to replace the 1909 Copyright Act, which had become outdated because of advances in technology. </w:t>
      </w:r>
      <w:r w:rsidR="0047147A" w:rsidRPr="000F1240">
        <w:t xml:space="preserve"> </w:t>
      </w:r>
      <w:r w:rsidR="0047147A" w:rsidRPr="005D0245">
        <w:t xml:space="preserve">Jessica D. Litman, </w:t>
      </w:r>
      <w:r w:rsidR="0047147A" w:rsidRPr="005D0245">
        <w:rPr>
          <w:i/>
        </w:rPr>
        <w:t>Copyright, Compromise, and Legislative History</w:t>
      </w:r>
      <w:r w:rsidR="0047147A" w:rsidRPr="005D0245">
        <w:t>, 72 Cornell L. Rev. 857, 859 (1987)</w:t>
      </w:r>
      <w:r w:rsidR="0047147A" w:rsidRPr="000F1240">
        <w:t xml:space="preserve">. The </w:t>
      </w:r>
      <w:r>
        <w:t xml:space="preserve">Copyright Act of 1976 was not the result of lawmakers writing a bill in isolation, rather it was a </w:t>
      </w:r>
      <w:r w:rsidR="004A2EC5">
        <w:t>decade’s</w:t>
      </w:r>
      <w:r>
        <w:t xml:space="preserve"> long process of negotiations between content creators and copyright users</w:t>
      </w:r>
      <w:r w:rsidR="0047147A" w:rsidRPr="000F1240">
        <w:t xml:space="preserve">. </w:t>
      </w:r>
      <w:r w:rsidR="004C7CEF" w:rsidRPr="005D0245">
        <w:rPr>
          <w:i/>
        </w:rPr>
        <w:t>Id.</w:t>
      </w:r>
      <w:r w:rsidR="0047147A" w:rsidRPr="000F1240">
        <w:t xml:space="preserve"> </w:t>
      </w:r>
      <w:r w:rsidR="00AA273A" w:rsidRPr="000F1240">
        <w:t xml:space="preserve">The Supreme </w:t>
      </w:r>
      <w:r w:rsidR="0076765B" w:rsidRPr="000F1240">
        <w:t>Court</w:t>
      </w:r>
      <w:r w:rsidR="00AA273A" w:rsidRPr="000F1240">
        <w:t xml:space="preserve"> noted this in </w:t>
      </w:r>
      <w:r w:rsidR="0076765B" w:rsidRPr="005D0245">
        <w:rPr>
          <w:i/>
        </w:rPr>
        <w:t>Cmty. for Creative Non-Violence</w:t>
      </w:r>
      <w:r w:rsidR="0076765B">
        <w:t>, “</w:t>
      </w:r>
      <w:r w:rsidR="00AA273A" w:rsidRPr="000F1240">
        <w:t xml:space="preserve"> The Act, which almost completely revised existing copyright law, was the product of two decades of negotiation by representatives of creators and copyright-using industries, supervised by the Copyright Office and, to a lesser extent, by Congress.”</w:t>
      </w:r>
      <w:r w:rsidR="00540423" w:rsidRPr="00540423">
        <w:rPr>
          <w:i/>
        </w:rPr>
        <w:t xml:space="preserve"> </w:t>
      </w:r>
      <w:r w:rsidR="005D0245" w:rsidRPr="005D0245">
        <w:rPr>
          <w:i/>
        </w:rPr>
        <w:t>Cmty. for Creative Non-Violence</w:t>
      </w:r>
      <w:r w:rsidR="005D0245">
        <w:t>, 490 U.S. at 743</w:t>
      </w:r>
      <w:r w:rsidR="00540423" w:rsidRPr="000F1240">
        <w:t xml:space="preserve">. </w:t>
      </w:r>
    </w:p>
    <w:p w14:paraId="623E11D3" w14:textId="77777777" w:rsidR="002676A3" w:rsidRPr="001E0F1B" w:rsidRDefault="00AA273A" w:rsidP="005E2EDC">
      <w:pPr>
        <w:spacing w:line="480" w:lineRule="auto"/>
        <w:ind w:firstLine="720"/>
      </w:pPr>
      <w:r w:rsidRPr="001E0F1B">
        <w:t>The original version</w:t>
      </w:r>
      <w:r w:rsidR="00533309" w:rsidRPr="001E0F1B">
        <w:t xml:space="preserve"> of the bill that became the C</w:t>
      </w:r>
      <w:r w:rsidRPr="001E0F1B">
        <w:t xml:space="preserve">opyright </w:t>
      </w:r>
      <w:r w:rsidR="00533309" w:rsidRPr="001E0F1B">
        <w:t>A</w:t>
      </w:r>
      <w:r w:rsidRPr="001E0F1B">
        <w:t xml:space="preserve">ct of 1976 </w:t>
      </w:r>
      <w:r w:rsidR="00533309" w:rsidRPr="001E0F1B">
        <w:t>did not</w:t>
      </w:r>
      <w:r w:rsidRPr="001E0F1B">
        <w:t xml:space="preserve"> include commissioned works in the category of works made for hire. </w:t>
      </w:r>
      <w:r w:rsidR="00533309" w:rsidRPr="001E0F1B">
        <w:rPr>
          <w:i/>
        </w:rPr>
        <w:t>Litman</w:t>
      </w:r>
      <w:r w:rsidR="00533309" w:rsidRPr="001E0F1B">
        <w:t xml:space="preserve">, </w:t>
      </w:r>
      <w:r w:rsidR="00533309" w:rsidRPr="001E0F1B">
        <w:rPr>
          <w:i/>
        </w:rPr>
        <w:t>Copyright, Compromise, and Legislative History</w:t>
      </w:r>
      <w:r w:rsidR="00533309" w:rsidRPr="001E0F1B">
        <w:t xml:space="preserve">, </w:t>
      </w:r>
      <w:r w:rsidR="00533309" w:rsidRPr="001E0F1B">
        <w:rPr>
          <w:i/>
        </w:rPr>
        <w:t>supra</w:t>
      </w:r>
      <w:r w:rsidR="00533309" w:rsidRPr="001E0F1B">
        <w:t>, at 888</w:t>
      </w:r>
      <w:r w:rsidR="00313002" w:rsidRPr="001E0F1B">
        <w:t xml:space="preserve">. </w:t>
      </w:r>
      <w:r w:rsidRPr="001E0F1B">
        <w:t xml:space="preserve">Only works created within the scope of employment were included. Commissioned works were only added </w:t>
      </w:r>
      <w:r w:rsidR="00F40E9C" w:rsidRPr="001E0F1B">
        <w:t>after lobbying by book publishers</w:t>
      </w:r>
      <w:r w:rsidR="001B443F" w:rsidRPr="001E0F1B">
        <w:t xml:space="preserve">, who relied on commissioned works. </w:t>
      </w:r>
      <w:r w:rsidR="009D23C2" w:rsidRPr="001E0F1B">
        <w:rPr>
          <w:i/>
        </w:rPr>
        <w:t xml:space="preserve">Supplementary Register’s Report on the General Revision of the U.S. Copyright Law </w:t>
      </w:r>
      <w:r w:rsidR="009D23C2" w:rsidRPr="001E0F1B">
        <w:t>at 66 (1965)</w:t>
      </w:r>
      <w:r w:rsidR="00313002" w:rsidRPr="001E0F1B">
        <w:t xml:space="preserve">. </w:t>
      </w:r>
      <w:r w:rsidR="001B443F" w:rsidRPr="001E0F1B">
        <w:t>The current language was created as a compromise, between book publishers and</w:t>
      </w:r>
      <w:r w:rsidR="00716461" w:rsidRPr="001E0F1B">
        <w:t xml:space="preserve"> content creators. The language was designed to strike a balance, between allowing commissioned works to be works made for hire</w:t>
      </w:r>
      <w:r w:rsidR="002D7BFC">
        <w:t>,</w:t>
      </w:r>
      <w:r w:rsidR="00716461" w:rsidRPr="001E0F1B">
        <w:t xml:space="preserve"> while recognizing that it could lead to content creators being abused, especially given the unequal bargaining power between the </w:t>
      </w:r>
      <w:r w:rsidR="00716461" w:rsidRPr="001E0F1B">
        <w:lastRenderedPageBreak/>
        <w:t xml:space="preserve">parties. </w:t>
      </w:r>
      <w:r w:rsidR="009D23C2" w:rsidRPr="001E0F1B">
        <w:rPr>
          <w:i/>
        </w:rPr>
        <w:t>Litman</w:t>
      </w:r>
      <w:r w:rsidR="009D23C2" w:rsidRPr="001E0F1B">
        <w:t xml:space="preserve">, </w:t>
      </w:r>
      <w:r w:rsidR="009D23C2" w:rsidRPr="001E0F1B">
        <w:rPr>
          <w:i/>
        </w:rPr>
        <w:t>Copyright, Compromise, and Legislative History</w:t>
      </w:r>
      <w:r w:rsidR="009D23C2" w:rsidRPr="001E0F1B">
        <w:t xml:space="preserve">, </w:t>
      </w:r>
      <w:r w:rsidR="009D23C2" w:rsidRPr="001E0F1B">
        <w:rPr>
          <w:i/>
        </w:rPr>
        <w:t>supra</w:t>
      </w:r>
      <w:r w:rsidR="009D23C2" w:rsidRPr="001E0F1B">
        <w:t>,</w:t>
      </w:r>
      <w:r w:rsidR="00313002" w:rsidRPr="001E0F1B">
        <w:t xml:space="preserve"> at 889. </w:t>
      </w:r>
      <w:r w:rsidR="009D23C2" w:rsidRPr="001E0F1B">
        <w:t xml:space="preserve">The authors’ organizations were specifically worried about the possibility of writes being induced into signing a form contract stating that his work is “made for hire” </w:t>
      </w:r>
      <w:r w:rsidR="009D23C2" w:rsidRPr="001E0F1B">
        <w:rPr>
          <w:i/>
        </w:rPr>
        <w:t xml:space="preserve">Supplementary Register’s Report on the General Revision of the U.S. Copyright Law </w:t>
      </w:r>
      <w:r w:rsidR="009D23C2" w:rsidRPr="001E0F1B">
        <w:t>at 67 (1965).</w:t>
      </w:r>
      <w:r w:rsidR="001E0F1B" w:rsidRPr="001E0F1B">
        <w:t xml:space="preserve"> </w:t>
      </w:r>
      <w:r w:rsidR="009D23C2" w:rsidRPr="001E0F1B">
        <w:t xml:space="preserve">The resulting language in the statute is a </w:t>
      </w:r>
      <w:r w:rsidR="001E0F1B" w:rsidRPr="001E0F1B">
        <w:t>result of a carefully negotiated compromise between</w:t>
      </w:r>
      <w:r w:rsidR="001E0F1B">
        <w:t xml:space="preserve"> the position of the content creators and the copyright users</w:t>
      </w:r>
      <w:r w:rsidR="001E0F1B" w:rsidRPr="001E0F1B">
        <w:t xml:space="preserve"> </w:t>
      </w:r>
      <w:r w:rsidR="009D23C2" w:rsidRPr="001E0F1B">
        <w:rPr>
          <w:i/>
        </w:rPr>
        <w:t>Id</w:t>
      </w:r>
      <w:r w:rsidR="009D23C2" w:rsidRPr="001E0F1B">
        <w:t xml:space="preserve">. At </w:t>
      </w:r>
      <w:r w:rsidR="00C1386C">
        <w:t xml:space="preserve">67. Congress itself was worried about protecting the content creators in situations where the hiring party contributed little and the contractor did all of the creative work. </w:t>
      </w:r>
      <w:r w:rsidR="005D0245" w:rsidRPr="005D0245">
        <w:rPr>
          <w:i/>
        </w:rPr>
        <w:t>Aldon Accessories v. Spiegel, Inc.</w:t>
      </w:r>
      <w:r w:rsidR="005D0245">
        <w:t>, 738 F.2d 548, 552 (2d Cir. 1984)</w:t>
      </w:r>
      <w:r w:rsidR="00C1386C">
        <w:t>.</w:t>
      </w:r>
      <w:r w:rsidR="00C1386C" w:rsidRPr="001E0F1B">
        <w:t xml:space="preserve">  </w:t>
      </w:r>
    </w:p>
    <w:p w14:paraId="023EA7BE" w14:textId="77777777" w:rsidR="0047147A" w:rsidRPr="005D0245" w:rsidRDefault="006464B9" w:rsidP="00533309">
      <w:pPr>
        <w:spacing w:line="480" w:lineRule="auto"/>
        <w:ind w:firstLine="720"/>
      </w:pPr>
      <w:r w:rsidRPr="000F1240">
        <w:t xml:space="preserve">Because this </w:t>
      </w:r>
      <w:r w:rsidR="002D7BFC">
        <w:t xml:space="preserve">17 U.S.C, and 17 U.S.C §101 </w:t>
      </w:r>
      <w:r w:rsidRPr="000F1240">
        <w:t xml:space="preserve">in particular </w:t>
      </w:r>
      <w:r w:rsidR="00784FF1">
        <w:t>are</w:t>
      </w:r>
      <w:r w:rsidRPr="000F1240">
        <w:t xml:space="preserve"> product</w:t>
      </w:r>
      <w:r w:rsidR="00784FF1">
        <w:t>s</w:t>
      </w:r>
      <w:r w:rsidRPr="000F1240">
        <w:t xml:space="preserve"> of compromise, we should interpret the statute narrowly</w:t>
      </w:r>
      <w:r w:rsidR="000C7A18" w:rsidRPr="000F1240">
        <w:t xml:space="preserve">. </w:t>
      </w:r>
      <w:r w:rsidR="005D0245" w:rsidRPr="005D0245">
        <w:rPr>
          <w:i/>
        </w:rPr>
        <w:t>Cmty. for Creative Non-Violence</w:t>
      </w:r>
      <w:r w:rsidR="005D0245">
        <w:t>, 490 U.S. at 747</w:t>
      </w:r>
      <w:r w:rsidR="000C7A18" w:rsidRPr="000F1240">
        <w:t xml:space="preserve">. </w:t>
      </w:r>
      <w:r w:rsidR="002D7BFC">
        <w:t xml:space="preserve">Plaintiff </w:t>
      </w:r>
      <w:r w:rsidR="000C7A18" w:rsidRPr="000F1240">
        <w:t xml:space="preserve">is arguing that we should broaden the scope of a carefully crafted compromise. In doing so the plaintiff </w:t>
      </w:r>
      <w:r w:rsidR="00805D71">
        <w:t>is disturbing the balance that C</w:t>
      </w:r>
      <w:r w:rsidR="000C7A18" w:rsidRPr="000F1240">
        <w:t xml:space="preserve">ongress created between content creators and those how commission work. </w:t>
      </w:r>
      <w:r w:rsidR="00ED06E7" w:rsidRPr="001E0F1B">
        <w:rPr>
          <w:i/>
        </w:rPr>
        <w:t xml:space="preserve">Supplementary Register’s Report on the General Revision of the U.S. Copyright Law </w:t>
      </w:r>
      <w:r w:rsidR="00ED06E7" w:rsidRPr="001E0F1B">
        <w:t xml:space="preserve">at 66 (1965). </w:t>
      </w:r>
      <w:r w:rsidR="000C7A18" w:rsidRPr="000F1240">
        <w:t>They are tilting the balance toward the commissioners</w:t>
      </w:r>
      <w:r w:rsidR="00274C8E">
        <w:t xml:space="preserve"> of work</w:t>
      </w:r>
      <w:r w:rsidR="000C7A18" w:rsidRPr="000F1240">
        <w:t xml:space="preserve">, who had to lobby hard even be included in the work for hire section at all. </w:t>
      </w:r>
      <w:r w:rsidR="003942A9" w:rsidRPr="005D0245">
        <w:rPr>
          <w:i/>
        </w:rPr>
        <w:t>Id.</w:t>
      </w:r>
      <w:r w:rsidR="003942A9">
        <w:t xml:space="preserve"> </w:t>
      </w:r>
      <w:r w:rsidR="000C7A18" w:rsidRPr="000F1240">
        <w:t xml:space="preserve">Content creators deserve the full benefits of the protections they negotiated for in the act. </w:t>
      </w:r>
      <w:r w:rsidR="0047147A" w:rsidRPr="000F1240">
        <w:t xml:space="preserve"> </w:t>
      </w:r>
      <w:r w:rsidR="002D7BFC" w:rsidRPr="005D0245">
        <w:rPr>
          <w:i/>
        </w:rPr>
        <w:t>Id.</w:t>
      </w:r>
      <w:r w:rsidR="005D0245" w:rsidRPr="005D0245">
        <w:t xml:space="preserve"> </w:t>
      </w:r>
    </w:p>
    <w:p w14:paraId="38B5E091" w14:textId="77777777" w:rsidR="00716461" w:rsidRDefault="00716461" w:rsidP="001E0F1B">
      <w:pPr>
        <w:spacing w:line="480" w:lineRule="auto"/>
        <w:ind w:firstLine="720"/>
      </w:pPr>
      <w:r w:rsidRPr="000F1240">
        <w:t xml:space="preserve">Further support from the legislative history comes </w:t>
      </w:r>
      <w:r w:rsidR="00805D71">
        <w:t>from the C</w:t>
      </w:r>
      <w:r w:rsidR="00C128C0">
        <w:t>ongressional testimony of</w:t>
      </w:r>
      <w:r w:rsidR="00524503">
        <w:t xml:space="preserve"> Barbara Ringer</w:t>
      </w:r>
      <w:r w:rsidR="001E0F1B">
        <w:t>.</w:t>
      </w:r>
      <w:r w:rsidR="00524503">
        <w:t xml:space="preserve"> </w:t>
      </w:r>
      <w:r w:rsidR="001E0F1B">
        <w:t>Barbara Ringer</w:t>
      </w:r>
      <w:r w:rsidR="00524503">
        <w:t xml:space="preserve"> worked for the copyright office, </w:t>
      </w:r>
      <w:r w:rsidR="001E0F1B">
        <w:t>and was</w:t>
      </w:r>
      <w:r w:rsidR="00524503">
        <w:t xml:space="preserve"> introduced at a hearing by the then Register of Copyrights, </w:t>
      </w:r>
      <w:r w:rsidR="00C128C0" w:rsidRPr="00C128C0">
        <w:rPr>
          <w:shd w:val="clear" w:color="auto" w:fill="FFFFFF"/>
        </w:rPr>
        <w:t xml:space="preserve">Abraham </w:t>
      </w:r>
      <w:r w:rsidR="00C128C0" w:rsidRPr="00C128C0">
        <w:rPr>
          <w:rStyle w:val="Emphasis"/>
          <w:b w:val="0"/>
          <w:bCs/>
          <w:i w:val="0"/>
          <w:iCs/>
          <w:color w:val="000000"/>
          <w:shd w:val="clear" w:color="auto" w:fill="FFFFFF"/>
        </w:rPr>
        <w:t>Kaminstein</w:t>
      </w:r>
      <w:r w:rsidR="00C128C0">
        <w:rPr>
          <w:rStyle w:val="Emphasis"/>
          <w:b w:val="0"/>
          <w:bCs/>
          <w:i w:val="0"/>
          <w:iCs/>
          <w:color w:val="000000"/>
          <w:shd w:val="clear" w:color="auto" w:fill="FFFFFF"/>
        </w:rPr>
        <w:t>,</w:t>
      </w:r>
      <w:r w:rsidR="001E0F1B">
        <w:rPr>
          <w:rStyle w:val="Emphasis"/>
          <w:b w:val="0"/>
          <w:bCs/>
          <w:i w:val="0"/>
          <w:iCs/>
          <w:color w:val="000000"/>
          <w:shd w:val="clear" w:color="auto" w:fill="FFFFFF"/>
        </w:rPr>
        <w:t xml:space="preserve"> </w:t>
      </w:r>
      <w:r w:rsidR="00C128C0">
        <w:rPr>
          <w:rStyle w:val="Emphasis"/>
          <w:b w:val="0"/>
          <w:bCs/>
          <w:i w:val="0"/>
          <w:iCs/>
          <w:color w:val="000000"/>
          <w:shd w:val="clear" w:color="auto" w:fill="FFFFFF"/>
        </w:rPr>
        <w:t>Thusly,</w:t>
      </w:r>
      <w:r w:rsidR="00C128C0" w:rsidRPr="00C128C0">
        <w:t xml:space="preserve"> </w:t>
      </w:r>
      <w:r w:rsidR="00C128C0">
        <w:t>“</w:t>
      </w:r>
      <w:r w:rsidR="00C128C0" w:rsidRPr="00C128C0">
        <w:t>Most specifically, I want to thank Barbara</w:t>
      </w:r>
      <w:r w:rsidR="00C128C0">
        <w:t xml:space="preserve"> </w:t>
      </w:r>
      <w:r w:rsidR="00C128C0" w:rsidRPr="00C128C0">
        <w:t>Ringer and Abe Goldman for the really incalculable amount of time and knowledge they both put into the continuous drafting and re-drafting of each section of the bill submitted to Congress.</w:t>
      </w:r>
      <w:r w:rsidR="00C128C0">
        <w:t xml:space="preserve">” </w:t>
      </w:r>
      <w:r w:rsidR="00C128C0" w:rsidRPr="00C128C0">
        <w:rPr>
          <w:i/>
        </w:rPr>
        <w:t xml:space="preserve">4 George S. Grossman Omnibus Copyright Revision History </w:t>
      </w:r>
      <w:r w:rsidR="00C128C0" w:rsidRPr="00C128C0">
        <w:t xml:space="preserve">33, 37 </w:t>
      </w:r>
      <w:r w:rsidR="00C128C0">
        <w:t>(</w:t>
      </w:r>
      <w:r w:rsidR="00C128C0" w:rsidRPr="00C128C0">
        <w:t>2001</w:t>
      </w:r>
      <w:r w:rsidR="00C128C0">
        <w:t>)</w:t>
      </w:r>
      <w:r w:rsidR="00804132" w:rsidRPr="000F1240">
        <w:t xml:space="preserve"> At a Copyright Office Panel meeting </w:t>
      </w:r>
      <w:r w:rsidR="00C128C0">
        <w:t xml:space="preserve"> before the House Judiciary Committee, </w:t>
      </w:r>
      <w:r w:rsidR="00804132" w:rsidRPr="000F1240">
        <w:t xml:space="preserve">Barbra </w:t>
      </w:r>
      <w:r w:rsidR="00804132" w:rsidRPr="000F1240">
        <w:lastRenderedPageBreak/>
        <w:t xml:space="preserve">Ringer explained that a commissioned work “would not be considered ‘a work made for hire’ (under </w:t>
      </w:r>
      <w:r w:rsidR="004C7CEF">
        <w:t>17 U.S.C. § 101(2)</w:t>
      </w:r>
      <w:r w:rsidR="00804132" w:rsidRPr="000F1240">
        <w:t xml:space="preserve">) if the contract were signed later on -- after the work was written, for example.” </w:t>
      </w:r>
      <w:r w:rsidR="00804132" w:rsidRPr="000F1240">
        <w:rPr>
          <w:i/>
        </w:rPr>
        <w:t>COPYRIGHT LAW REVISION</w:t>
      </w:r>
      <w:r w:rsidR="00804132" w:rsidRPr="000F1240">
        <w:t xml:space="preserve">, Part 5; House Committee Print, [89th Congress, 1st Session (September 1965)], at 37, 145. </w:t>
      </w:r>
      <w:r w:rsidR="00566EFE">
        <w:t xml:space="preserve"> While Rep</w:t>
      </w:r>
      <w:r w:rsidR="0076765B">
        <w:t>.</w:t>
      </w:r>
      <w:r w:rsidR="00566EFE">
        <w:t xml:space="preserve"> Karp may have disagreed with a written requirement preceding the creation of the work, he mainly disagreed with the whole notion of</w:t>
      </w:r>
      <w:r w:rsidR="00CD47CA">
        <w:t xml:space="preserve"> a work on commission being considered a work made for hire saying, “I think that the problem can be cured by attacking a much more basic problem … that a work made on special order or commission should ever be considered a ‘work made for hire.’”. </w:t>
      </w:r>
      <w:r w:rsidR="00CD47CA">
        <w:rPr>
          <w:i/>
        </w:rPr>
        <w:t xml:space="preserve">Id. </w:t>
      </w:r>
      <w:r w:rsidR="00CD47CA">
        <w:t xml:space="preserve">At 146. He also deferred to the Copyright office on their differences telling Mr. Kaminstein “I hope that before the draft is completely revised you make up your mind one way or another, and I hope you make it up the right way.” </w:t>
      </w:r>
      <w:r w:rsidR="00CD47CA">
        <w:rPr>
          <w:i/>
        </w:rPr>
        <w:t>Id.</w:t>
      </w:r>
      <w:r w:rsidR="00CD47CA">
        <w:t xml:space="preserve"> At 146. If </w:t>
      </w:r>
      <w:r w:rsidR="001E0F1B">
        <w:t xml:space="preserve">Congress disagreed with Barbara Ringers </w:t>
      </w:r>
      <w:r w:rsidR="00FA0F25">
        <w:t>interpretation</w:t>
      </w:r>
      <w:r w:rsidR="001E0F1B">
        <w:t xml:space="preserve"> of 17 U.S.C. §101, they did not signal it by changing the way that section is drafted to </w:t>
      </w:r>
      <w:r w:rsidR="002D7BFC">
        <w:t>signal</w:t>
      </w:r>
      <w:r w:rsidR="00805D71">
        <w:t xml:space="preserve"> a C</w:t>
      </w:r>
      <w:r w:rsidR="001E0F1B">
        <w:t xml:space="preserve">ongressional intent that the agreement may be signed </w:t>
      </w:r>
      <w:r w:rsidR="002D7BFC">
        <w:t>post creation</w:t>
      </w:r>
      <w:r w:rsidR="001E0F1B">
        <w:t xml:space="preserve">.  </w:t>
      </w:r>
    </w:p>
    <w:p w14:paraId="3474EB87" w14:textId="77777777" w:rsidR="006E2B32" w:rsidRPr="001E0F1B" w:rsidRDefault="006E2B32" w:rsidP="001E0F1B">
      <w:pPr>
        <w:spacing w:line="480" w:lineRule="auto"/>
        <w:ind w:firstLine="720"/>
      </w:pPr>
      <w:r>
        <w:t xml:space="preserve">The statutory history of 17 U.S.C. §101 shows both that 17 U.S.C. §101 </w:t>
      </w:r>
      <w:r w:rsidR="002D7BFC">
        <w:t>was</w:t>
      </w:r>
      <w:r>
        <w:t xml:space="preserve"> drafted to require a written agreement before a work </w:t>
      </w:r>
      <w:r w:rsidR="0011377F">
        <w:t>is</w:t>
      </w:r>
      <w:r>
        <w:t xml:space="preserve"> created, and that </w:t>
      </w:r>
      <w:r w:rsidR="0011377F">
        <w:t xml:space="preserve">the history of harshly fought compromise means that the sections of the act ought to be interpreted narrowly in order to persevere that compromise. Taken together those points strongly support the finding that 17 U.S.C.  §101 requires a written agreement precede the creation of work, and therefore the plaintiffs compliant warrants a dismissal for failing to state a claim upon which relief can be granted. </w:t>
      </w:r>
    </w:p>
    <w:p w14:paraId="047C6427" w14:textId="77777777" w:rsidR="00652573" w:rsidRPr="00D543B2" w:rsidRDefault="00D543B2" w:rsidP="00D543B2">
      <w:pPr>
        <w:pStyle w:val="ListParagraph"/>
        <w:numPr>
          <w:ilvl w:val="1"/>
          <w:numId w:val="8"/>
        </w:numPr>
        <w:jc w:val="left"/>
        <w:rPr>
          <w:rFonts w:ascii="Times New Roman" w:hAnsi="Times New Roman" w:cs="Times New Roman"/>
          <w:sz w:val="24"/>
          <w:szCs w:val="24"/>
        </w:rPr>
      </w:pPr>
      <w:r>
        <w:rPr>
          <w:rFonts w:ascii="Times New Roman" w:hAnsi="Times New Roman" w:cs="Times New Roman"/>
          <w:sz w:val="24"/>
          <w:szCs w:val="24"/>
        </w:rPr>
        <w:t>Public Policy Favors a Bright Line Rule Requiring a Written Instrument Be Signed Before the Work is Created</w:t>
      </w:r>
    </w:p>
    <w:p w14:paraId="331AD1EF" w14:textId="77777777" w:rsidR="00652573" w:rsidRPr="004E6C78" w:rsidRDefault="00FA71C4" w:rsidP="00D543B2">
      <w:pPr>
        <w:spacing w:line="480" w:lineRule="auto"/>
      </w:pPr>
      <w:r>
        <w:t xml:space="preserve">A major problem created by </w:t>
      </w:r>
      <w:r w:rsidR="00EF6A28">
        <w:t>Plaintiff’s</w:t>
      </w:r>
      <w:r>
        <w:t xml:space="preserve"> reading of the statute is that they create a period</w:t>
      </w:r>
      <w:r w:rsidR="00EF6A28">
        <w:t xml:space="preserve"> where the ownership of the work is unclear. </w:t>
      </w:r>
      <w:r>
        <w:t xml:space="preserve"> </w:t>
      </w:r>
      <w:r w:rsidR="00784FF1">
        <w:t xml:space="preserve">What rights would a creator have to a work they had </w:t>
      </w:r>
      <w:r w:rsidR="00784FF1">
        <w:lastRenderedPageBreak/>
        <w:t xml:space="preserve">created in the period before they had signed the work for hire agreement? Could they license the work out? What happens if the creator of the work has an oral agreement that a work will be a work for hire, creates the work, sells the copyright to a third party, and then signs a work made for hire agreement? Who would have the rights to the work? </w:t>
      </w:r>
    </w:p>
    <w:p w14:paraId="26F48648" w14:textId="77777777" w:rsidR="00B9082A" w:rsidRPr="00EF6A28" w:rsidRDefault="00103022" w:rsidP="006E2B32">
      <w:pPr>
        <w:spacing w:line="480" w:lineRule="auto"/>
        <w:ind w:firstLine="360"/>
      </w:pPr>
      <w:r>
        <w:t>In her law r</w:t>
      </w:r>
      <w:r w:rsidR="00C11CB0" w:rsidRPr="00EF6A28">
        <w:t xml:space="preserve">eview article </w:t>
      </w:r>
      <w:r w:rsidR="00C11CB0" w:rsidRPr="00533309">
        <w:rPr>
          <w:i/>
        </w:rPr>
        <w:t>The Justice of Rules and Standards</w:t>
      </w:r>
      <w:r w:rsidR="00C11CB0" w:rsidRPr="00EF6A28">
        <w:t xml:space="preserve">, Professor Sullivan describes the differences between rules and standards this way. “A legal directive is ‘rule-like’ when it binds a decision maker to respond in a determinate way to the presence of delimited triggering facts. A legal directive is “standard”-like when it tends to collapse decision making back into the direct application of the background principle or policy to a fact situation.” </w:t>
      </w:r>
      <w:r w:rsidR="00C11CB0" w:rsidRPr="005D0245">
        <w:t xml:space="preserve">Kathleen M. Sullivan, </w:t>
      </w:r>
      <w:r w:rsidR="00C11CB0" w:rsidRPr="005D0245">
        <w:rPr>
          <w:i/>
        </w:rPr>
        <w:t>The Justices of Rules and Standards</w:t>
      </w:r>
      <w:r w:rsidR="00C11CB0" w:rsidRPr="005D0245">
        <w:t>, 106 Harv. L. Rev. 22, 58 (1992)</w:t>
      </w:r>
      <w:r w:rsidR="00C11CB0" w:rsidRPr="00EF6A28">
        <w:t>. In this case</w:t>
      </w:r>
      <w:r w:rsidR="00805D71">
        <w:t xml:space="preserve"> we are deciding about whether C</w:t>
      </w:r>
      <w:r w:rsidR="00C11CB0" w:rsidRPr="00EF6A28">
        <w:t>ongress intended to create a Rule (</w:t>
      </w:r>
      <w:r w:rsidR="00DD3674" w:rsidRPr="00EF6A28">
        <w:t xml:space="preserve">the written instrument must be signed before creation of the work) or a Standard (the written instrument can be signed after the creation of the work if there is sufficient agreement before the work is created). Professor Sullivan laid </w:t>
      </w:r>
      <w:r w:rsidR="00090CFF" w:rsidRPr="00EF6A28">
        <w:t>out</w:t>
      </w:r>
      <w:r w:rsidR="00DD3674" w:rsidRPr="00EF6A28">
        <w:t xml:space="preserve"> five main arguments for why rul</w:t>
      </w:r>
      <w:r w:rsidR="006E2B32">
        <w:t>es are preferable to standards, including that r</w:t>
      </w:r>
      <w:r w:rsidR="00DD3674" w:rsidRPr="00EF6A28">
        <w:t>ules serve to maximize utility among private actors because they provi</w:t>
      </w:r>
      <w:r w:rsidR="006E2B32">
        <w:t xml:space="preserve">de certainty and predictability. </w:t>
      </w:r>
      <w:r w:rsidR="00B9082A" w:rsidRPr="00EF6A28">
        <w:t xml:space="preserve"> </w:t>
      </w:r>
      <w:r w:rsidR="00B9082A" w:rsidRPr="005D0245">
        <w:rPr>
          <w:i/>
        </w:rPr>
        <w:t>Id.</w:t>
      </w:r>
      <w:r w:rsidR="00B9082A" w:rsidRPr="005D0245">
        <w:t xml:space="preserve"> at 62</w:t>
      </w:r>
      <w:r w:rsidR="006E2B32">
        <w:t xml:space="preserve">.which is precisely the goal </w:t>
      </w:r>
      <w:r w:rsidR="00805D71">
        <w:t>C</w:t>
      </w:r>
      <w:r w:rsidR="006E2B32">
        <w:t>ongress</w:t>
      </w:r>
    </w:p>
    <w:p w14:paraId="0DD04470" w14:textId="77777777" w:rsidR="00B9082A" w:rsidRDefault="00B9082A" w:rsidP="00103022">
      <w:pPr>
        <w:spacing w:line="480" w:lineRule="auto"/>
        <w:ind w:firstLine="360"/>
      </w:pPr>
      <w:r w:rsidRPr="00EF6A28">
        <w:t xml:space="preserve">Congress desired to create certainty and predictability among actors with the Copyright Act of 1976. </w:t>
      </w:r>
      <w:r w:rsidRPr="00533309">
        <w:rPr>
          <w:i/>
        </w:rPr>
        <w:t>Cmty. for Creative Non-Violence v. Reid</w:t>
      </w:r>
      <w:r w:rsidRPr="00EF6A28">
        <w:t>, 490 U.S. 730, 750 (1989).  That goal is best served by the adaptation of a rule rather than a standard. Adopting the rule also has the added benefit of making adjudication easier. Courts will not have to wade through complicated fact patterns to determine if there was sufficient intent to have a work made for hire, that they can enforce a work made for hire agreement signed post creation. Instead they will only need to determine if the written agreement was signed by both parties before the creation of the work.</w:t>
      </w:r>
      <w:r w:rsidR="00AB157D" w:rsidRPr="00EF6A28">
        <w:t xml:space="preserve"> </w:t>
      </w:r>
      <w:r w:rsidR="00AB157D" w:rsidRPr="00EF6A28">
        <w:lastRenderedPageBreak/>
        <w:t xml:space="preserve">This also makes it easy for parties to understand the consequences of their actions. It is much easier for an actor to understand whether or not an agreement was signed before or after the creation of a work, than to understand if there is sufficient evidence of an agreement that a post creation written agreement is enforceable. </w:t>
      </w:r>
      <w:r w:rsidRPr="00EF6A28">
        <w:t xml:space="preserve"> </w:t>
      </w:r>
    </w:p>
    <w:p w14:paraId="09DE2CB8" w14:textId="77777777" w:rsidR="00BF788C" w:rsidRDefault="00D543B2" w:rsidP="00D543B2">
      <w:pPr>
        <w:pStyle w:val="ListParagraph"/>
        <w:numPr>
          <w:ilvl w:val="0"/>
          <w:numId w:val="8"/>
        </w:numPr>
        <w:spacing w:after="0" w:line="480" w:lineRule="auto"/>
        <w:jc w:val="left"/>
        <w:rPr>
          <w:rFonts w:ascii="Times New Roman" w:hAnsi="Times New Roman" w:cs="Times New Roman"/>
          <w:sz w:val="24"/>
          <w:szCs w:val="24"/>
        </w:rPr>
      </w:pPr>
      <w:r>
        <w:rPr>
          <w:rFonts w:ascii="Times New Roman" w:hAnsi="Times New Roman" w:cs="Times New Roman"/>
          <w:sz w:val="24"/>
          <w:szCs w:val="24"/>
        </w:rPr>
        <w:t xml:space="preserve">Conclusion </w:t>
      </w:r>
    </w:p>
    <w:p w14:paraId="2B6652E1" w14:textId="77777777" w:rsidR="00F10454" w:rsidRDefault="0076765B" w:rsidP="00805D71">
      <w:pPr>
        <w:spacing w:line="480" w:lineRule="auto"/>
      </w:pPr>
      <w:r>
        <w:t>The plain languag</w:t>
      </w:r>
      <w:r w:rsidR="00F90AD8">
        <w:t xml:space="preserve">e of 17 U.C.S. §101 clearly lays </w:t>
      </w:r>
      <w:r>
        <w:t>out the requirement that the written</w:t>
      </w:r>
      <w:r w:rsidR="001E66D5">
        <w:t xml:space="preserve"> agreement must precede the creation of a work in order for that work to be considered a work for hire. The case law and legislative history</w:t>
      </w:r>
      <w:r w:rsidR="00274C8E">
        <w:t xml:space="preserve"> of the act</w:t>
      </w:r>
      <w:r w:rsidR="001E66D5">
        <w:t xml:space="preserve"> show that Congress intended the writing requirement in order to ensure the ownership of the copyright was clear and predictable in order for the work to be marketable. Following the rule that </w:t>
      </w:r>
      <w:r w:rsidR="00805D71">
        <w:t>C</w:t>
      </w:r>
      <w:r w:rsidR="001E66D5">
        <w:t xml:space="preserve">ongress </w:t>
      </w:r>
      <w:r w:rsidR="00805D71">
        <w:t xml:space="preserve">intended to and did enshrine in the statute, creates </w:t>
      </w:r>
      <w:r w:rsidR="001E66D5">
        <w:t xml:space="preserve">a clear, simple, rule that is easy for both parties and courts to understand, apply and follow. </w:t>
      </w:r>
      <w:r w:rsidR="00805D71">
        <w:t xml:space="preserve">Following the rule proposed by Plaintiff would harm Congress’s goal of predictability, ignore persuasive precedent and the plain language </w:t>
      </w:r>
      <w:r w:rsidR="00274C8E">
        <w:t xml:space="preserve">meaning </w:t>
      </w:r>
      <w:r w:rsidR="00805D71">
        <w:t xml:space="preserve">of the statute, and create a convoluted, fact </w:t>
      </w:r>
      <w:r w:rsidR="00F90AD8">
        <w:t>intensive,</w:t>
      </w:r>
      <w:r w:rsidR="00805D71">
        <w:t xml:space="preserve"> difficult </w:t>
      </w:r>
      <w:r w:rsidR="00F90AD8">
        <w:t xml:space="preserve">rule </w:t>
      </w:r>
      <w:r w:rsidR="00805D71">
        <w:t>to apply.  The plain language, persuasive president, legislative history and public policy concerns of 17 U.S.C. §101 all lead to the conclusion that a written agreement must be signed by both parties prior to the creation of the work. Because of this</w:t>
      </w:r>
      <w:r w:rsidR="00F90AD8">
        <w:t>,</w:t>
      </w:r>
      <w:r w:rsidR="00805D71">
        <w:t xml:space="preserve"> Plaintiff has failed to state a claim upon which relief can be granted, and their claim should be dismissed pursuant to Fed. R. Civ. P. 12(b)(6)</w:t>
      </w:r>
      <w:r w:rsidR="00F90AD8">
        <w:t xml:space="preserve">. </w:t>
      </w:r>
    </w:p>
    <w:p w14:paraId="0F8658E2" w14:textId="77777777" w:rsidR="00F10454" w:rsidRDefault="00F10454" w:rsidP="00F10454">
      <w:pPr>
        <w:ind w:left="107"/>
      </w:pPr>
    </w:p>
    <w:p w14:paraId="300C9318" w14:textId="77777777" w:rsidR="00F10454" w:rsidRPr="00F10454" w:rsidRDefault="00F10454" w:rsidP="007C1419">
      <w:pPr>
        <w:ind w:left="107"/>
      </w:pPr>
      <w:r w:rsidRPr="00F10454">
        <w:t xml:space="preserve">Dated:  </w:t>
      </w:r>
      <w:r w:rsidR="00805D71">
        <w:rPr>
          <w:u w:val="single"/>
        </w:rPr>
        <w:t>March 21, 2012</w:t>
      </w:r>
      <w:r w:rsidRPr="00F10454">
        <w:tab/>
      </w:r>
      <w:r w:rsidRPr="00F10454">
        <w:tab/>
      </w:r>
      <w:r w:rsidRPr="00F10454">
        <w:tab/>
      </w:r>
      <w:r w:rsidR="00805D71">
        <w:tab/>
      </w:r>
      <w:r w:rsidR="00805D71">
        <w:tab/>
      </w:r>
      <w:r w:rsidR="007C1419">
        <w:t>&lt;redacted&gt;&lt;/redacted&gt;</w:t>
      </w:r>
      <w:bookmarkStart w:id="33" w:name="_GoBack"/>
      <w:bookmarkEnd w:id="33"/>
    </w:p>
    <w:p w14:paraId="6D73D403" w14:textId="77777777" w:rsidR="00F10454" w:rsidRPr="00F10454" w:rsidRDefault="00F10454" w:rsidP="00F10454">
      <w:pPr>
        <w:ind w:left="107"/>
      </w:pPr>
    </w:p>
    <w:p w14:paraId="0F995E32" w14:textId="77777777" w:rsidR="00F10454" w:rsidRPr="00F10454" w:rsidRDefault="00F10454" w:rsidP="00F10454">
      <w:pPr>
        <w:ind w:left="107"/>
      </w:pPr>
      <w:r w:rsidRPr="00F10454">
        <w:tab/>
      </w:r>
      <w:r w:rsidRPr="00F10454">
        <w:tab/>
      </w:r>
      <w:r w:rsidRPr="00F10454">
        <w:tab/>
      </w:r>
      <w:r w:rsidRPr="00F10454">
        <w:tab/>
      </w:r>
      <w:r w:rsidRPr="00F10454">
        <w:tab/>
      </w:r>
      <w:r w:rsidRPr="00F10454">
        <w:tab/>
      </w:r>
      <w:r w:rsidRPr="00F10454">
        <w:tab/>
      </w:r>
      <w:r w:rsidRPr="00F10454">
        <w:tab/>
      </w:r>
      <w:r w:rsidRPr="00F10454">
        <w:rPr>
          <w:u w:val="single"/>
        </w:rPr>
        <w:t xml:space="preserve">     ________________     </w:t>
      </w:r>
      <w:r w:rsidRPr="00F10454">
        <w:t xml:space="preserve">   </w:t>
      </w:r>
    </w:p>
    <w:p w14:paraId="09BF553F" w14:textId="77777777" w:rsidR="00892A60" w:rsidRPr="00804996" w:rsidRDefault="00F10454" w:rsidP="00F90AD8">
      <w:pPr>
        <w:ind w:left="107"/>
      </w:pPr>
      <w:r w:rsidRPr="00F10454">
        <w:tab/>
      </w:r>
      <w:r w:rsidRPr="00F10454">
        <w:tab/>
      </w:r>
      <w:r w:rsidRPr="00F10454">
        <w:tab/>
      </w:r>
      <w:r w:rsidRPr="00F10454">
        <w:tab/>
      </w:r>
      <w:r w:rsidRPr="00F10454">
        <w:tab/>
      </w:r>
      <w:r w:rsidRPr="00F10454">
        <w:tab/>
      </w:r>
      <w:r w:rsidRPr="00F10454">
        <w:tab/>
      </w:r>
      <w:r w:rsidRPr="00F10454">
        <w:tab/>
        <w:t xml:space="preserve">Attorney for Defendant </w:t>
      </w:r>
    </w:p>
    <w:sectPr w:rsidR="00892A60" w:rsidRPr="00804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C36D01E"/>
    <w:lvl w:ilvl="0" w:tplc="FFFFFFFF">
      <w:start w:val="1"/>
      <w:numFmt w:val="upperRoman"/>
      <w:lvlText w:val="%1."/>
      <w:lvlJc w:val="left"/>
      <w:pPr>
        <w:tabs>
          <w:tab w:val="num" w:pos="0"/>
        </w:tabs>
        <w:ind w:left="1080" w:hanging="720"/>
      </w:pPr>
      <w:rPr>
        <w:rFonts w:ascii="Times New Roman" w:eastAsia="Times New Roman" w:hAnsi="Times New Roman" w:cs="Times New Roman"/>
        <w:b w:val="0"/>
        <w:bCs w:val="0"/>
        <w:i w:val="0"/>
        <w:iCs w:val="0"/>
        <w:strike w:val="0"/>
        <w:color w:val="000000"/>
        <w:sz w:val="20"/>
        <w:szCs w:val="20"/>
        <w:u w:val="none"/>
      </w:rPr>
    </w:lvl>
    <w:lvl w:ilvl="1" w:tplc="04090015">
      <w:start w:val="1"/>
      <w:numFmt w:val="upperLetter"/>
      <w:lvlText w:val="%2."/>
      <w:lvlJc w:val="left"/>
      <w:pPr>
        <w:tabs>
          <w:tab w:val="num" w:pos="0"/>
        </w:tabs>
        <w:ind w:left="1440" w:hanging="360"/>
      </w:pPr>
      <w:rPr>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BFB4B87"/>
    <w:multiLevelType w:val="hybridMultilevel"/>
    <w:tmpl w:val="FEE40CE6"/>
    <w:lvl w:ilvl="0" w:tplc="E4A2CE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403EA6"/>
    <w:multiLevelType w:val="hybridMultilevel"/>
    <w:tmpl w:val="1E40DA68"/>
    <w:lvl w:ilvl="0" w:tplc="133898F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DD66396"/>
    <w:multiLevelType w:val="hybridMultilevel"/>
    <w:tmpl w:val="E3B093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1C22D0"/>
    <w:multiLevelType w:val="hybridMultilevel"/>
    <w:tmpl w:val="18D02662"/>
    <w:lvl w:ilvl="0" w:tplc="D68C517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28418F"/>
    <w:multiLevelType w:val="hybridMultilevel"/>
    <w:tmpl w:val="4768F12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B48E4"/>
    <w:multiLevelType w:val="hybridMultilevel"/>
    <w:tmpl w:val="E67A8B8E"/>
    <w:lvl w:ilvl="0" w:tplc="5F62C24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6D30279"/>
    <w:multiLevelType w:val="hybridMultilevel"/>
    <w:tmpl w:val="74F43F9C"/>
    <w:lvl w:ilvl="0" w:tplc="A6F0B9E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5F63EA"/>
    <w:multiLevelType w:val="hybridMultilevel"/>
    <w:tmpl w:val="D590970A"/>
    <w:lvl w:ilvl="0" w:tplc="4DE23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D24640"/>
    <w:multiLevelType w:val="hybridMultilevel"/>
    <w:tmpl w:val="B25A9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7"/>
  </w:num>
  <w:num w:numId="5">
    <w:abstractNumId w:val="3"/>
  </w:num>
  <w:num w:numId="6">
    <w:abstractNumId w:val="2"/>
  </w:num>
  <w:num w:numId="7">
    <w:abstractNumId w:val="4"/>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C058B8"/>
    <w:rsid w:val="000460A3"/>
    <w:rsid w:val="000538C3"/>
    <w:rsid w:val="000706E3"/>
    <w:rsid w:val="00076A3A"/>
    <w:rsid w:val="00090CFF"/>
    <w:rsid w:val="00091D16"/>
    <w:rsid w:val="0009487E"/>
    <w:rsid w:val="00097AA7"/>
    <w:rsid w:val="000C7A18"/>
    <w:rsid w:val="000F1240"/>
    <w:rsid w:val="000F3DA4"/>
    <w:rsid w:val="000F6962"/>
    <w:rsid w:val="00103022"/>
    <w:rsid w:val="0011377F"/>
    <w:rsid w:val="00177156"/>
    <w:rsid w:val="001A00FC"/>
    <w:rsid w:val="001B443F"/>
    <w:rsid w:val="001C54BE"/>
    <w:rsid w:val="001E0493"/>
    <w:rsid w:val="001E0F1B"/>
    <w:rsid w:val="001E2074"/>
    <w:rsid w:val="001E66D5"/>
    <w:rsid w:val="0021035D"/>
    <w:rsid w:val="00210E21"/>
    <w:rsid w:val="00226BA5"/>
    <w:rsid w:val="002405C5"/>
    <w:rsid w:val="00266ACD"/>
    <w:rsid w:val="002676A3"/>
    <w:rsid w:val="00274C8E"/>
    <w:rsid w:val="002D2ABA"/>
    <w:rsid w:val="002D7BFC"/>
    <w:rsid w:val="00313002"/>
    <w:rsid w:val="00320D1B"/>
    <w:rsid w:val="00330B3F"/>
    <w:rsid w:val="00335CD2"/>
    <w:rsid w:val="0034797A"/>
    <w:rsid w:val="003524C0"/>
    <w:rsid w:val="0035417C"/>
    <w:rsid w:val="00372FBD"/>
    <w:rsid w:val="003749ED"/>
    <w:rsid w:val="00384B5C"/>
    <w:rsid w:val="003942A9"/>
    <w:rsid w:val="003C7DED"/>
    <w:rsid w:val="003F62BC"/>
    <w:rsid w:val="003F73F6"/>
    <w:rsid w:val="003F7D64"/>
    <w:rsid w:val="004136AD"/>
    <w:rsid w:val="00460AC0"/>
    <w:rsid w:val="0047147A"/>
    <w:rsid w:val="00497ECA"/>
    <w:rsid w:val="004A2477"/>
    <w:rsid w:val="004A2EC5"/>
    <w:rsid w:val="004C7CEF"/>
    <w:rsid w:val="004D4778"/>
    <w:rsid w:val="004D679E"/>
    <w:rsid w:val="004E6C78"/>
    <w:rsid w:val="005043B5"/>
    <w:rsid w:val="00524503"/>
    <w:rsid w:val="00533309"/>
    <w:rsid w:val="005377F0"/>
    <w:rsid w:val="00540423"/>
    <w:rsid w:val="00566EFE"/>
    <w:rsid w:val="005762C4"/>
    <w:rsid w:val="005851EE"/>
    <w:rsid w:val="00592F20"/>
    <w:rsid w:val="005D0245"/>
    <w:rsid w:val="005D48E4"/>
    <w:rsid w:val="005D6DE3"/>
    <w:rsid w:val="005E2EDC"/>
    <w:rsid w:val="005F504E"/>
    <w:rsid w:val="006464B9"/>
    <w:rsid w:val="006522AB"/>
    <w:rsid w:val="00652573"/>
    <w:rsid w:val="00654A04"/>
    <w:rsid w:val="006A42DE"/>
    <w:rsid w:val="006E2B32"/>
    <w:rsid w:val="00716461"/>
    <w:rsid w:val="00736743"/>
    <w:rsid w:val="00747E07"/>
    <w:rsid w:val="00751693"/>
    <w:rsid w:val="0076765B"/>
    <w:rsid w:val="00784FF1"/>
    <w:rsid w:val="007C1419"/>
    <w:rsid w:val="007E4551"/>
    <w:rsid w:val="007E6B1A"/>
    <w:rsid w:val="007F34D9"/>
    <w:rsid w:val="00804132"/>
    <w:rsid w:val="00804996"/>
    <w:rsid w:val="00805908"/>
    <w:rsid w:val="00805D71"/>
    <w:rsid w:val="00846D68"/>
    <w:rsid w:val="00861D6B"/>
    <w:rsid w:val="00892A60"/>
    <w:rsid w:val="008C1421"/>
    <w:rsid w:val="008E5D78"/>
    <w:rsid w:val="008F7849"/>
    <w:rsid w:val="009131C6"/>
    <w:rsid w:val="00917EC5"/>
    <w:rsid w:val="00921687"/>
    <w:rsid w:val="00923B57"/>
    <w:rsid w:val="00971738"/>
    <w:rsid w:val="009A1849"/>
    <w:rsid w:val="009B1D53"/>
    <w:rsid w:val="009D23C2"/>
    <w:rsid w:val="009D3421"/>
    <w:rsid w:val="009D468C"/>
    <w:rsid w:val="00A85B61"/>
    <w:rsid w:val="00AA273A"/>
    <w:rsid w:val="00AB157D"/>
    <w:rsid w:val="00AB4451"/>
    <w:rsid w:val="00AB5B8E"/>
    <w:rsid w:val="00AD3EC2"/>
    <w:rsid w:val="00AD6AB0"/>
    <w:rsid w:val="00AE20A3"/>
    <w:rsid w:val="00AE25B4"/>
    <w:rsid w:val="00AF7A63"/>
    <w:rsid w:val="00B16E45"/>
    <w:rsid w:val="00B35FE6"/>
    <w:rsid w:val="00B43087"/>
    <w:rsid w:val="00B620C4"/>
    <w:rsid w:val="00B9082A"/>
    <w:rsid w:val="00BB246F"/>
    <w:rsid w:val="00BC588C"/>
    <w:rsid w:val="00BD3750"/>
    <w:rsid w:val="00BF788C"/>
    <w:rsid w:val="00C0174E"/>
    <w:rsid w:val="00C04727"/>
    <w:rsid w:val="00C058B8"/>
    <w:rsid w:val="00C11CB0"/>
    <w:rsid w:val="00C128C0"/>
    <w:rsid w:val="00C1386C"/>
    <w:rsid w:val="00C5671D"/>
    <w:rsid w:val="00C77BEE"/>
    <w:rsid w:val="00CC0C06"/>
    <w:rsid w:val="00CD47CA"/>
    <w:rsid w:val="00D23742"/>
    <w:rsid w:val="00D30DA7"/>
    <w:rsid w:val="00D543B2"/>
    <w:rsid w:val="00DA2E3E"/>
    <w:rsid w:val="00DA7B6D"/>
    <w:rsid w:val="00DC071C"/>
    <w:rsid w:val="00DD3674"/>
    <w:rsid w:val="00DD597E"/>
    <w:rsid w:val="00EC0BB9"/>
    <w:rsid w:val="00EC14A1"/>
    <w:rsid w:val="00EC3A97"/>
    <w:rsid w:val="00EC5B6E"/>
    <w:rsid w:val="00ED06E7"/>
    <w:rsid w:val="00EF6A28"/>
    <w:rsid w:val="00F10454"/>
    <w:rsid w:val="00F21D46"/>
    <w:rsid w:val="00F40E9C"/>
    <w:rsid w:val="00F4512C"/>
    <w:rsid w:val="00F772A4"/>
    <w:rsid w:val="00F83375"/>
    <w:rsid w:val="00F90AD8"/>
    <w:rsid w:val="00FA0F25"/>
    <w:rsid w:val="00FA3FEF"/>
    <w:rsid w:val="00FA71C4"/>
    <w:rsid w:val="00FB22BE"/>
    <w:rsid w:val="00FC60D2"/>
    <w:rsid w:val="00FE106A"/>
    <w:rsid w:val="00FE4677"/>
    <w:rsid w:val="00FE5C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F533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2BC"/>
    <w:pPr>
      <w:spacing w:after="0" w:line="240" w:lineRule="auto"/>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46D68"/>
    <w:pPr>
      <w:spacing w:before="300" w:after="40" w:line="276" w:lineRule="auto"/>
      <w:outlineLvl w:val="0"/>
    </w:pPr>
    <w:rPr>
      <w:rFonts w:asciiTheme="minorHAnsi" w:eastAsiaTheme="minorEastAsia" w:hAnsiTheme="minorHAnsi" w:cstheme="minorBidi"/>
      <w:smallCaps/>
      <w:spacing w:val="5"/>
      <w:sz w:val="32"/>
      <w:szCs w:val="32"/>
    </w:rPr>
  </w:style>
  <w:style w:type="paragraph" w:styleId="Heading2">
    <w:name w:val="heading 2"/>
    <w:basedOn w:val="Normal"/>
    <w:next w:val="Normal"/>
    <w:link w:val="Heading2Char"/>
    <w:uiPriority w:val="9"/>
    <w:semiHidden/>
    <w:unhideWhenUsed/>
    <w:qFormat/>
    <w:rsid w:val="00846D68"/>
    <w:pPr>
      <w:spacing w:before="240" w:after="80" w:line="276" w:lineRule="auto"/>
      <w:outlineLvl w:val="1"/>
    </w:pPr>
    <w:rPr>
      <w:rFonts w:asciiTheme="minorHAnsi" w:eastAsiaTheme="minorEastAsia" w:hAnsiTheme="minorHAnsi" w:cstheme="minorBidi"/>
      <w:smallCaps/>
      <w:spacing w:val="5"/>
      <w:sz w:val="28"/>
      <w:szCs w:val="28"/>
    </w:rPr>
  </w:style>
  <w:style w:type="paragraph" w:styleId="Heading3">
    <w:name w:val="heading 3"/>
    <w:basedOn w:val="Normal"/>
    <w:next w:val="Normal"/>
    <w:link w:val="Heading3Char"/>
    <w:uiPriority w:val="9"/>
    <w:semiHidden/>
    <w:unhideWhenUsed/>
    <w:qFormat/>
    <w:rsid w:val="00846D68"/>
    <w:pPr>
      <w:spacing w:line="276" w:lineRule="auto"/>
      <w:outlineLvl w:val="2"/>
    </w:pPr>
    <w:rPr>
      <w:rFonts w:asciiTheme="minorHAnsi" w:eastAsiaTheme="minorEastAsia" w:hAnsiTheme="minorHAnsi" w:cstheme="minorBidi"/>
      <w:smallCaps/>
      <w:spacing w:val="5"/>
    </w:rPr>
  </w:style>
  <w:style w:type="paragraph" w:styleId="Heading4">
    <w:name w:val="heading 4"/>
    <w:basedOn w:val="Normal"/>
    <w:next w:val="Normal"/>
    <w:link w:val="Heading4Char"/>
    <w:uiPriority w:val="9"/>
    <w:semiHidden/>
    <w:unhideWhenUsed/>
    <w:qFormat/>
    <w:rsid w:val="00846D68"/>
    <w:pPr>
      <w:spacing w:before="240" w:line="276" w:lineRule="auto"/>
      <w:outlineLvl w:val="3"/>
    </w:pPr>
    <w:rPr>
      <w:rFonts w:asciiTheme="minorHAnsi" w:eastAsiaTheme="minorEastAsia" w:hAnsiTheme="minorHAnsi" w:cstheme="minorBidi"/>
      <w:smallCaps/>
      <w:spacing w:val="10"/>
      <w:sz w:val="22"/>
      <w:szCs w:val="22"/>
    </w:rPr>
  </w:style>
  <w:style w:type="paragraph" w:styleId="Heading5">
    <w:name w:val="heading 5"/>
    <w:basedOn w:val="Normal"/>
    <w:next w:val="Normal"/>
    <w:link w:val="Heading5Char"/>
    <w:uiPriority w:val="9"/>
    <w:semiHidden/>
    <w:unhideWhenUsed/>
    <w:qFormat/>
    <w:rsid w:val="00846D68"/>
    <w:pPr>
      <w:spacing w:before="200" w:line="276" w:lineRule="auto"/>
      <w:outlineLvl w:val="4"/>
    </w:pPr>
    <w:rPr>
      <w:rFonts w:asciiTheme="minorHAnsi" w:eastAsiaTheme="minorEastAsia" w:hAnsiTheme="minorHAnsi" w:cstheme="minorBidi"/>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846D68"/>
    <w:pPr>
      <w:spacing w:line="276" w:lineRule="auto"/>
      <w:outlineLvl w:val="5"/>
    </w:pPr>
    <w:rPr>
      <w:rFonts w:asciiTheme="minorHAnsi" w:eastAsiaTheme="minorEastAsia" w:hAnsiTheme="minorHAnsi" w:cstheme="minorBidi"/>
      <w:smallCaps/>
      <w:color w:val="C0504D" w:themeColor="accent2"/>
      <w:spacing w:val="5"/>
      <w:sz w:val="22"/>
      <w:szCs w:val="20"/>
    </w:rPr>
  </w:style>
  <w:style w:type="paragraph" w:styleId="Heading7">
    <w:name w:val="heading 7"/>
    <w:basedOn w:val="Normal"/>
    <w:next w:val="Normal"/>
    <w:link w:val="Heading7Char"/>
    <w:uiPriority w:val="9"/>
    <w:semiHidden/>
    <w:unhideWhenUsed/>
    <w:qFormat/>
    <w:rsid w:val="00846D68"/>
    <w:pPr>
      <w:spacing w:line="276" w:lineRule="auto"/>
      <w:outlineLvl w:val="6"/>
    </w:pPr>
    <w:rPr>
      <w:rFonts w:asciiTheme="minorHAnsi" w:eastAsiaTheme="minorEastAsia" w:hAnsiTheme="minorHAnsi" w:cstheme="minorBidi"/>
      <w:b/>
      <w:smallCaps/>
      <w:color w:val="C0504D" w:themeColor="accent2"/>
      <w:spacing w:val="10"/>
      <w:sz w:val="20"/>
      <w:szCs w:val="20"/>
    </w:rPr>
  </w:style>
  <w:style w:type="paragraph" w:styleId="Heading8">
    <w:name w:val="heading 8"/>
    <w:basedOn w:val="Normal"/>
    <w:next w:val="Normal"/>
    <w:link w:val="Heading8Char"/>
    <w:uiPriority w:val="9"/>
    <w:semiHidden/>
    <w:unhideWhenUsed/>
    <w:qFormat/>
    <w:rsid w:val="00846D68"/>
    <w:pPr>
      <w:spacing w:line="276" w:lineRule="auto"/>
      <w:outlineLvl w:val="7"/>
    </w:pPr>
    <w:rPr>
      <w:rFonts w:asciiTheme="minorHAnsi" w:eastAsiaTheme="minorEastAsia" w:hAnsiTheme="minorHAnsi" w:cstheme="minorBidi"/>
      <w:b/>
      <w:i/>
      <w:smallCaps/>
      <w:color w:val="943634" w:themeColor="accent2" w:themeShade="BF"/>
      <w:sz w:val="20"/>
      <w:szCs w:val="20"/>
    </w:rPr>
  </w:style>
  <w:style w:type="paragraph" w:styleId="Heading9">
    <w:name w:val="heading 9"/>
    <w:basedOn w:val="Normal"/>
    <w:next w:val="Normal"/>
    <w:link w:val="Heading9Char"/>
    <w:uiPriority w:val="9"/>
    <w:semiHidden/>
    <w:unhideWhenUsed/>
    <w:qFormat/>
    <w:rsid w:val="00846D68"/>
    <w:pPr>
      <w:spacing w:line="276" w:lineRule="auto"/>
      <w:outlineLvl w:val="8"/>
    </w:pPr>
    <w:rPr>
      <w:rFonts w:asciiTheme="minorHAnsi" w:eastAsiaTheme="minorEastAsia" w:hAnsiTheme="minorHAnsi" w:cstheme="minorBidi"/>
      <w:b/>
      <w:i/>
      <w:smallCaps/>
      <w:color w:val="622423" w:themeColor="accent2" w:themeShade="7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D68"/>
    <w:pPr>
      <w:spacing w:after="200" w:line="276" w:lineRule="auto"/>
      <w:ind w:left="720"/>
      <w:contextualSpacing/>
      <w:jc w:val="both"/>
    </w:pPr>
    <w:rPr>
      <w:rFonts w:asciiTheme="minorHAnsi" w:eastAsiaTheme="minorEastAsia" w:hAnsiTheme="minorHAnsi" w:cstheme="minorBidi"/>
      <w:sz w:val="20"/>
      <w:szCs w:val="20"/>
    </w:rPr>
  </w:style>
  <w:style w:type="character" w:customStyle="1" w:styleId="apple-converted-space">
    <w:name w:val="apple-converted-space"/>
    <w:basedOn w:val="DefaultParagraphFont"/>
    <w:rsid w:val="002405C5"/>
  </w:style>
  <w:style w:type="character" w:styleId="Emphasis">
    <w:name w:val="Emphasis"/>
    <w:uiPriority w:val="20"/>
    <w:qFormat/>
    <w:rsid w:val="00846D68"/>
    <w:rPr>
      <w:b/>
      <w:i/>
      <w:spacing w:val="10"/>
    </w:rPr>
  </w:style>
  <w:style w:type="character" w:customStyle="1" w:styleId="Heading9Char">
    <w:name w:val="Heading 9 Char"/>
    <w:basedOn w:val="DefaultParagraphFont"/>
    <w:link w:val="Heading9"/>
    <w:uiPriority w:val="9"/>
    <w:semiHidden/>
    <w:rsid w:val="00846D68"/>
    <w:rPr>
      <w:b/>
      <w:i/>
      <w:smallCaps/>
      <w:color w:val="622423" w:themeColor="accent2" w:themeShade="7F"/>
    </w:rPr>
  </w:style>
  <w:style w:type="character" w:customStyle="1" w:styleId="Heading8Char">
    <w:name w:val="Heading 8 Char"/>
    <w:basedOn w:val="DefaultParagraphFont"/>
    <w:link w:val="Heading8"/>
    <w:uiPriority w:val="9"/>
    <w:semiHidden/>
    <w:rsid w:val="00846D68"/>
    <w:rPr>
      <w:b/>
      <w:i/>
      <w:smallCaps/>
      <w:color w:val="943634" w:themeColor="accent2" w:themeShade="BF"/>
    </w:rPr>
  </w:style>
  <w:style w:type="character" w:customStyle="1" w:styleId="Heading7Char">
    <w:name w:val="Heading 7 Char"/>
    <w:basedOn w:val="DefaultParagraphFont"/>
    <w:link w:val="Heading7"/>
    <w:uiPriority w:val="9"/>
    <w:semiHidden/>
    <w:rsid w:val="00846D68"/>
    <w:rPr>
      <w:b/>
      <w:smallCaps/>
      <w:color w:val="C0504D" w:themeColor="accent2"/>
      <w:spacing w:val="10"/>
    </w:rPr>
  </w:style>
  <w:style w:type="character" w:customStyle="1" w:styleId="Heading6Char">
    <w:name w:val="Heading 6 Char"/>
    <w:basedOn w:val="DefaultParagraphFont"/>
    <w:link w:val="Heading6"/>
    <w:uiPriority w:val="9"/>
    <w:semiHidden/>
    <w:rsid w:val="00846D68"/>
    <w:rPr>
      <w:smallCaps/>
      <w:color w:val="C0504D" w:themeColor="accent2"/>
      <w:spacing w:val="5"/>
      <w:sz w:val="22"/>
    </w:rPr>
  </w:style>
  <w:style w:type="character" w:customStyle="1" w:styleId="Heading5Char">
    <w:name w:val="Heading 5 Char"/>
    <w:basedOn w:val="DefaultParagraphFont"/>
    <w:link w:val="Heading5"/>
    <w:uiPriority w:val="9"/>
    <w:semiHidden/>
    <w:rsid w:val="00846D68"/>
    <w:rPr>
      <w:smallCaps/>
      <w:color w:val="943634" w:themeColor="accent2" w:themeShade="BF"/>
      <w:spacing w:val="10"/>
      <w:sz w:val="22"/>
      <w:szCs w:val="26"/>
    </w:rPr>
  </w:style>
  <w:style w:type="character" w:customStyle="1" w:styleId="Heading4Char">
    <w:name w:val="Heading 4 Char"/>
    <w:basedOn w:val="DefaultParagraphFont"/>
    <w:link w:val="Heading4"/>
    <w:uiPriority w:val="9"/>
    <w:semiHidden/>
    <w:rsid w:val="00846D68"/>
    <w:rPr>
      <w:smallCaps/>
      <w:spacing w:val="10"/>
      <w:sz w:val="22"/>
      <w:szCs w:val="22"/>
    </w:rPr>
  </w:style>
  <w:style w:type="character" w:customStyle="1" w:styleId="Heading3Char">
    <w:name w:val="Heading 3 Char"/>
    <w:basedOn w:val="DefaultParagraphFont"/>
    <w:link w:val="Heading3"/>
    <w:uiPriority w:val="9"/>
    <w:semiHidden/>
    <w:rsid w:val="00846D68"/>
    <w:rPr>
      <w:smallCaps/>
      <w:spacing w:val="5"/>
      <w:sz w:val="24"/>
      <w:szCs w:val="24"/>
    </w:rPr>
  </w:style>
  <w:style w:type="character" w:customStyle="1" w:styleId="Heading2Char">
    <w:name w:val="Heading 2 Char"/>
    <w:basedOn w:val="DefaultParagraphFont"/>
    <w:link w:val="Heading2"/>
    <w:uiPriority w:val="9"/>
    <w:semiHidden/>
    <w:rsid w:val="00846D68"/>
    <w:rPr>
      <w:smallCaps/>
      <w:spacing w:val="5"/>
      <w:sz w:val="28"/>
      <w:szCs w:val="28"/>
    </w:rPr>
  </w:style>
  <w:style w:type="character" w:customStyle="1" w:styleId="Heading1Char">
    <w:name w:val="Heading 1 Char"/>
    <w:basedOn w:val="DefaultParagraphFont"/>
    <w:link w:val="Heading1"/>
    <w:uiPriority w:val="9"/>
    <w:rsid w:val="00846D68"/>
    <w:rPr>
      <w:smallCaps/>
      <w:spacing w:val="5"/>
      <w:sz w:val="32"/>
      <w:szCs w:val="32"/>
    </w:rPr>
  </w:style>
  <w:style w:type="table" w:customStyle="1" w:styleId="TableGrid1">
    <w:name w:val="Table Grid1"/>
    <w:basedOn w:val="TableNormal"/>
    <w:next w:val="TableGrid"/>
    <w:uiPriority w:val="59"/>
    <w:rsid w:val="00846D68"/>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846D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846D68"/>
    <w:pPr>
      <w:spacing w:after="200" w:line="276" w:lineRule="auto"/>
      <w:jc w:val="both"/>
    </w:pPr>
    <w:rPr>
      <w:rFonts w:asciiTheme="minorHAnsi" w:eastAsiaTheme="minorEastAsia" w:hAnsiTheme="minorHAnsi" w:cstheme="minorBidi"/>
      <w:b/>
      <w:bCs/>
      <w:caps/>
      <w:sz w:val="16"/>
      <w:szCs w:val="18"/>
    </w:rPr>
  </w:style>
  <w:style w:type="paragraph" w:styleId="Title">
    <w:name w:val="Title"/>
    <w:basedOn w:val="Normal"/>
    <w:next w:val="Normal"/>
    <w:link w:val="TitleChar"/>
    <w:uiPriority w:val="10"/>
    <w:qFormat/>
    <w:rsid w:val="00846D68"/>
    <w:pPr>
      <w:pBdr>
        <w:top w:val="single" w:sz="12" w:space="1" w:color="C0504D" w:themeColor="accent2"/>
      </w:pBdr>
      <w:spacing w:after="200"/>
      <w:jc w:val="right"/>
    </w:pPr>
    <w:rPr>
      <w:rFonts w:asciiTheme="minorHAnsi" w:eastAsiaTheme="minorEastAsia" w:hAnsiTheme="minorHAnsi" w:cstheme="minorBidi"/>
      <w:smallCaps/>
      <w:sz w:val="48"/>
      <w:szCs w:val="48"/>
    </w:rPr>
  </w:style>
  <w:style w:type="character" w:customStyle="1" w:styleId="TitleChar">
    <w:name w:val="Title Char"/>
    <w:basedOn w:val="DefaultParagraphFont"/>
    <w:link w:val="Title"/>
    <w:uiPriority w:val="10"/>
    <w:rsid w:val="00846D68"/>
    <w:rPr>
      <w:smallCaps/>
      <w:sz w:val="48"/>
      <w:szCs w:val="48"/>
    </w:rPr>
  </w:style>
  <w:style w:type="paragraph" w:styleId="Subtitle">
    <w:name w:val="Subtitle"/>
    <w:basedOn w:val="Normal"/>
    <w:next w:val="Normal"/>
    <w:link w:val="SubtitleChar"/>
    <w:uiPriority w:val="11"/>
    <w:qFormat/>
    <w:rsid w:val="00846D68"/>
    <w:pPr>
      <w:spacing w:after="720"/>
      <w:jc w:val="right"/>
    </w:pPr>
    <w:rPr>
      <w:rFonts w:asciiTheme="majorHAnsi" w:eastAsiaTheme="majorEastAsia" w:hAnsiTheme="majorHAnsi" w:cstheme="majorBidi"/>
      <w:sz w:val="20"/>
      <w:szCs w:val="22"/>
    </w:rPr>
  </w:style>
  <w:style w:type="character" w:customStyle="1" w:styleId="SubtitleChar">
    <w:name w:val="Subtitle Char"/>
    <w:basedOn w:val="DefaultParagraphFont"/>
    <w:link w:val="Subtitle"/>
    <w:uiPriority w:val="11"/>
    <w:rsid w:val="00846D68"/>
    <w:rPr>
      <w:rFonts w:asciiTheme="majorHAnsi" w:eastAsiaTheme="majorEastAsia" w:hAnsiTheme="majorHAnsi" w:cstheme="majorBidi"/>
      <w:szCs w:val="22"/>
    </w:rPr>
  </w:style>
  <w:style w:type="character" w:styleId="Strong">
    <w:name w:val="Strong"/>
    <w:uiPriority w:val="22"/>
    <w:qFormat/>
    <w:rsid w:val="00846D68"/>
    <w:rPr>
      <w:b/>
      <w:color w:val="C0504D" w:themeColor="accent2"/>
    </w:rPr>
  </w:style>
  <w:style w:type="paragraph" w:styleId="NoSpacing">
    <w:name w:val="No Spacing"/>
    <w:basedOn w:val="Normal"/>
    <w:link w:val="NoSpacingChar"/>
    <w:uiPriority w:val="1"/>
    <w:qFormat/>
    <w:rsid w:val="00846D68"/>
    <w:pPr>
      <w:jc w:val="both"/>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846D68"/>
  </w:style>
  <w:style w:type="paragraph" w:styleId="Quote">
    <w:name w:val="Quote"/>
    <w:basedOn w:val="Normal"/>
    <w:next w:val="Normal"/>
    <w:link w:val="QuoteChar"/>
    <w:uiPriority w:val="29"/>
    <w:qFormat/>
    <w:rsid w:val="00846D68"/>
    <w:pPr>
      <w:spacing w:after="200" w:line="276" w:lineRule="auto"/>
      <w:jc w:val="both"/>
    </w:pPr>
    <w:rPr>
      <w:rFonts w:asciiTheme="minorHAnsi" w:eastAsiaTheme="minorEastAsia" w:hAnsiTheme="minorHAnsi" w:cstheme="minorBidi"/>
      <w:i/>
      <w:sz w:val="20"/>
      <w:szCs w:val="20"/>
    </w:rPr>
  </w:style>
  <w:style w:type="character" w:customStyle="1" w:styleId="QuoteChar">
    <w:name w:val="Quote Char"/>
    <w:basedOn w:val="DefaultParagraphFont"/>
    <w:link w:val="Quote"/>
    <w:uiPriority w:val="29"/>
    <w:rsid w:val="00846D68"/>
    <w:rPr>
      <w:i/>
    </w:rPr>
  </w:style>
  <w:style w:type="paragraph" w:styleId="IntenseQuote">
    <w:name w:val="Intense Quote"/>
    <w:basedOn w:val="Normal"/>
    <w:next w:val="Normal"/>
    <w:link w:val="IntenseQuoteChar"/>
    <w:uiPriority w:val="30"/>
    <w:qFormat/>
    <w:rsid w:val="00846D68"/>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line="276" w:lineRule="auto"/>
      <w:ind w:left="1440" w:right="1440"/>
      <w:jc w:val="both"/>
    </w:pPr>
    <w:rPr>
      <w:rFonts w:asciiTheme="minorHAnsi" w:eastAsiaTheme="minorEastAsia" w:hAnsiTheme="minorHAnsi" w:cstheme="minorBidi"/>
      <w:b/>
      <w:i/>
      <w:color w:val="FFFFFF" w:themeColor="background1"/>
      <w:sz w:val="20"/>
      <w:szCs w:val="20"/>
    </w:rPr>
  </w:style>
  <w:style w:type="character" w:customStyle="1" w:styleId="IntenseQuoteChar">
    <w:name w:val="Intense Quote Char"/>
    <w:basedOn w:val="DefaultParagraphFont"/>
    <w:link w:val="IntenseQuote"/>
    <w:uiPriority w:val="30"/>
    <w:rsid w:val="00846D68"/>
    <w:rPr>
      <w:b/>
      <w:i/>
      <w:color w:val="FFFFFF" w:themeColor="background1"/>
      <w:shd w:val="clear" w:color="auto" w:fill="C0504D" w:themeFill="accent2"/>
    </w:rPr>
  </w:style>
  <w:style w:type="character" w:styleId="SubtleEmphasis">
    <w:name w:val="Subtle Emphasis"/>
    <w:uiPriority w:val="19"/>
    <w:qFormat/>
    <w:rsid w:val="00846D68"/>
    <w:rPr>
      <w:i/>
    </w:rPr>
  </w:style>
  <w:style w:type="character" w:styleId="IntenseEmphasis">
    <w:name w:val="Intense Emphasis"/>
    <w:uiPriority w:val="21"/>
    <w:qFormat/>
    <w:rsid w:val="00846D68"/>
    <w:rPr>
      <w:b/>
      <w:i/>
      <w:color w:val="C0504D" w:themeColor="accent2"/>
      <w:spacing w:val="10"/>
    </w:rPr>
  </w:style>
  <w:style w:type="character" w:styleId="SubtleReference">
    <w:name w:val="Subtle Reference"/>
    <w:uiPriority w:val="31"/>
    <w:qFormat/>
    <w:rsid w:val="00846D68"/>
    <w:rPr>
      <w:b/>
    </w:rPr>
  </w:style>
  <w:style w:type="character" w:styleId="IntenseReference">
    <w:name w:val="Intense Reference"/>
    <w:uiPriority w:val="32"/>
    <w:qFormat/>
    <w:rsid w:val="00846D68"/>
    <w:rPr>
      <w:b/>
      <w:bCs/>
      <w:smallCaps/>
      <w:spacing w:val="5"/>
      <w:sz w:val="22"/>
      <w:szCs w:val="22"/>
      <w:u w:val="single"/>
    </w:rPr>
  </w:style>
  <w:style w:type="character" w:styleId="BookTitle">
    <w:name w:val="Book Title"/>
    <w:uiPriority w:val="33"/>
    <w:qFormat/>
    <w:rsid w:val="00846D68"/>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846D68"/>
    <w:pPr>
      <w:outlineLvl w:val="9"/>
    </w:pPr>
    <w:rPr>
      <w:lang w:bidi="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2BC"/>
    <w:pPr>
      <w:spacing w:after="0" w:line="240" w:lineRule="auto"/>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46D68"/>
    <w:pPr>
      <w:spacing w:before="300" w:after="40" w:line="276" w:lineRule="auto"/>
      <w:outlineLvl w:val="0"/>
    </w:pPr>
    <w:rPr>
      <w:rFonts w:asciiTheme="minorHAnsi" w:eastAsiaTheme="minorEastAsia" w:hAnsiTheme="minorHAnsi" w:cstheme="minorBidi"/>
      <w:smallCaps/>
      <w:spacing w:val="5"/>
      <w:sz w:val="32"/>
      <w:szCs w:val="32"/>
    </w:rPr>
  </w:style>
  <w:style w:type="paragraph" w:styleId="Heading2">
    <w:name w:val="heading 2"/>
    <w:basedOn w:val="Normal"/>
    <w:next w:val="Normal"/>
    <w:link w:val="Heading2Char"/>
    <w:uiPriority w:val="9"/>
    <w:semiHidden/>
    <w:unhideWhenUsed/>
    <w:qFormat/>
    <w:rsid w:val="00846D68"/>
    <w:pPr>
      <w:spacing w:before="240" w:after="80" w:line="276" w:lineRule="auto"/>
      <w:outlineLvl w:val="1"/>
    </w:pPr>
    <w:rPr>
      <w:rFonts w:asciiTheme="minorHAnsi" w:eastAsiaTheme="minorEastAsia" w:hAnsiTheme="minorHAnsi" w:cstheme="minorBidi"/>
      <w:smallCaps/>
      <w:spacing w:val="5"/>
      <w:sz w:val="28"/>
      <w:szCs w:val="28"/>
    </w:rPr>
  </w:style>
  <w:style w:type="paragraph" w:styleId="Heading3">
    <w:name w:val="heading 3"/>
    <w:basedOn w:val="Normal"/>
    <w:next w:val="Normal"/>
    <w:link w:val="Heading3Char"/>
    <w:uiPriority w:val="9"/>
    <w:semiHidden/>
    <w:unhideWhenUsed/>
    <w:qFormat/>
    <w:rsid w:val="00846D68"/>
    <w:pPr>
      <w:spacing w:line="276" w:lineRule="auto"/>
      <w:outlineLvl w:val="2"/>
    </w:pPr>
    <w:rPr>
      <w:rFonts w:asciiTheme="minorHAnsi" w:eastAsiaTheme="minorEastAsia" w:hAnsiTheme="minorHAnsi" w:cstheme="minorBidi"/>
      <w:smallCaps/>
      <w:spacing w:val="5"/>
    </w:rPr>
  </w:style>
  <w:style w:type="paragraph" w:styleId="Heading4">
    <w:name w:val="heading 4"/>
    <w:basedOn w:val="Normal"/>
    <w:next w:val="Normal"/>
    <w:link w:val="Heading4Char"/>
    <w:uiPriority w:val="9"/>
    <w:semiHidden/>
    <w:unhideWhenUsed/>
    <w:qFormat/>
    <w:rsid w:val="00846D68"/>
    <w:pPr>
      <w:spacing w:before="240" w:line="276" w:lineRule="auto"/>
      <w:outlineLvl w:val="3"/>
    </w:pPr>
    <w:rPr>
      <w:rFonts w:asciiTheme="minorHAnsi" w:eastAsiaTheme="minorEastAsia" w:hAnsiTheme="minorHAnsi" w:cstheme="minorBidi"/>
      <w:smallCaps/>
      <w:spacing w:val="10"/>
      <w:sz w:val="22"/>
      <w:szCs w:val="22"/>
    </w:rPr>
  </w:style>
  <w:style w:type="paragraph" w:styleId="Heading5">
    <w:name w:val="heading 5"/>
    <w:basedOn w:val="Normal"/>
    <w:next w:val="Normal"/>
    <w:link w:val="Heading5Char"/>
    <w:uiPriority w:val="9"/>
    <w:semiHidden/>
    <w:unhideWhenUsed/>
    <w:qFormat/>
    <w:rsid w:val="00846D68"/>
    <w:pPr>
      <w:spacing w:before="200" w:line="276" w:lineRule="auto"/>
      <w:outlineLvl w:val="4"/>
    </w:pPr>
    <w:rPr>
      <w:rFonts w:asciiTheme="minorHAnsi" w:eastAsiaTheme="minorEastAsia" w:hAnsiTheme="minorHAnsi" w:cstheme="minorBidi"/>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846D68"/>
    <w:pPr>
      <w:spacing w:line="276" w:lineRule="auto"/>
      <w:outlineLvl w:val="5"/>
    </w:pPr>
    <w:rPr>
      <w:rFonts w:asciiTheme="minorHAnsi" w:eastAsiaTheme="minorEastAsia" w:hAnsiTheme="minorHAnsi" w:cstheme="minorBidi"/>
      <w:smallCaps/>
      <w:color w:val="C0504D" w:themeColor="accent2"/>
      <w:spacing w:val="5"/>
      <w:sz w:val="22"/>
      <w:szCs w:val="20"/>
    </w:rPr>
  </w:style>
  <w:style w:type="paragraph" w:styleId="Heading7">
    <w:name w:val="heading 7"/>
    <w:basedOn w:val="Normal"/>
    <w:next w:val="Normal"/>
    <w:link w:val="Heading7Char"/>
    <w:uiPriority w:val="9"/>
    <w:semiHidden/>
    <w:unhideWhenUsed/>
    <w:qFormat/>
    <w:rsid w:val="00846D68"/>
    <w:pPr>
      <w:spacing w:line="276" w:lineRule="auto"/>
      <w:outlineLvl w:val="6"/>
    </w:pPr>
    <w:rPr>
      <w:rFonts w:asciiTheme="minorHAnsi" w:eastAsiaTheme="minorEastAsia" w:hAnsiTheme="minorHAnsi" w:cstheme="minorBidi"/>
      <w:b/>
      <w:smallCaps/>
      <w:color w:val="C0504D" w:themeColor="accent2"/>
      <w:spacing w:val="10"/>
      <w:sz w:val="20"/>
      <w:szCs w:val="20"/>
    </w:rPr>
  </w:style>
  <w:style w:type="paragraph" w:styleId="Heading8">
    <w:name w:val="heading 8"/>
    <w:basedOn w:val="Normal"/>
    <w:next w:val="Normal"/>
    <w:link w:val="Heading8Char"/>
    <w:uiPriority w:val="9"/>
    <w:semiHidden/>
    <w:unhideWhenUsed/>
    <w:qFormat/>
    <w:rsid w:val="00846D68"/>
    <w:pPr>
      <w:spacing w:line="276" w:lineRule="auto"/>
      <w:outlineLvl w:val="7"/>
    </w:pPr>
    <w:rPr>
      <w:rFonts w:asciiTheme="minorHAnsi" w:eastAsiaTheme="minorEastAsia" w:hAnsiTheme="minorHAnsi" w:cstheme="minorBidi"/>
      <w:b/>
      <w:i/>
      <w:smallCaps/>
      <w:color w:val="943634" w:themeColor="accent2" w:themeShade="BF"/>
      <w:sz w:val="20"/>
      <w:szCs w:val="20"/>
    </w:rPr>
  </w:style>
  <w:style w:type="paragraph" w:styleId="Heading9">
    <w:name w:val="heading 9"/>
    <w:basedOn w:val="Normal"/>
    <w:next w:val="Normal"/>
    <w:link w:val="Heading9Char"/>
    <w:uiPriority w:val="9"/>
    <w:semiHidden/>
    <w:unhideWhenUsed/>
    <w:qFormat/>
    <w:rsid w:val="00846D68"/>
    <w:pPr>
      <w:spacing w:line="276" w:lineRule="auto"/>
      <w:outlineLvl w:val="8"/>
    </w:pPr>
    <w:rPr>
      <w:rFonts w:asciiTheme="minorHAnsi" w:eastAsiaTheme="minorEastAsia" w:hAnsiTheme="minorHAnsi" w:cstheme="minorBidi"/>
      <w:b/>
      <w:i/>
      <w:smallCaps/>
      <w:color w:val="622423" w:themeColor="accent2" w:themeShade="7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D68"/>
    <w:pPr>
      <w:spacing w:after="200" w:line="276" w:lineRule="auto"/>
      <w:ind w:left="720"/>
      <w:contextualSpacing/>
      <w:jc w:val="both"/>
    </w:pPr>
    <w:rPr>
      <w:rFonts w:asciiTheme="minorHAnsi" w:eastAsiaTheme="minorEastAsia" w:hAnsiTheme="minorHAnsi" w:cstheme="minorBidi"/>
      <w:sz w:val="20"/>
      <w:szCs w:val="20"/>
    </w:rPr>
  </w:style>
  <w:style w:type="character" w:customStyle="1" w:styleId="apple-converted-space">
    <w:name w:val="apple-converted-space"/>
    <w:basedOn w:val="DefaultParagraphFont"/>
    <w:rsid w:val="002405C5"/>
  </w:style>
  <w:style w:type="character" w:styleId="Emphasis">
    <w:name w:val="Emphasis"/>
    <w:uiPriority w:val="20"/>
    <w:qFormat/>
    <w:rsid w:val="00846D68"/>
    <w:rPr>
      <w:b/>
      <w:i/>
      <w:spacing w:val="10"/>
    </w:rPr>
  </w:style>
  <w:style w:type="character" w:customStyle="1" w:styleId="Heading9Char">
    <w:name w:val="Heading 9 Char"/>
    <w:basedOn w:val="DefaultParagraphFont"/>
    <w:link w:val="Heading9"/>
    <w:uiPriority w:val="9"/>
    <w:semiHidden/>
    <w:rsid w:val="00846D68"/>
    <w:rPr>
      <w:b/>
      <w:i/>
      <w:smallCaps/>
      <w:color w:val="622423" w:themeColor="accent2" w:themeShade="7F"/>
    </w:rPr>
  </w:style>
  <w:style w:type="character" w:customStyle="1" w:styleId="Heading8Char">
    <w:name w:val="Heading 8 Char"/>
    <w:basedOn w:val="DefaultParagraphFont"/>
    <w:link w:val="Heading8"/>
    <w:uiPriority w:val="9"/>
    <w:semiHidden/>
    <w:rsid w:val="00846D68"/>
    <w:rPr>
      <w:b/>
      <w:i/>
      <w:smallCaps/>
      <w:color w:val="943634" w:themeColor="accent2" w:themeShade="BF"/>
    </w:rPr>
  </w:style>
  <w:style w:type="character" w:customStyle="1" w:styleId="Heading7Char">
    <w:name w:val="Heading 7 Char"/>
    <w:basedOn w:val="DefaultParagraphFont"/>
    <w:link w:val="Heading7"/>
    <w:uiPriority w:val="9"/>
    <w:semiHidden/>
    <w:rsid w:val="00846D68"/>
    <w:rPr>
      <w:b/>
      <w:smallCaps/>
      <w:color w:val="C0504D" w:themeColor="accent2"/>
      <w:spacing w:val="10"/>
    </w:rPr>
  </w:style>
  <w:style w:type="character" w:customStyle="1" w:styleId="Heading6Char">
    <w:name w:val="Heading 6 Char"/>
    <w:basedOn w:val="DefaultParagraphFont"/>
    <w:link w:val="Heading6"/>
    <w:uiPriority w:val="9"/>
    <w:semiHidden/>
    <w:rsid w:val="00846D68"/>
    <w:rPr>
      <w:smallCaps/>
      <w:color w:val="C0504D" w:themeColor="accent2"/>
      <w:spacing w:val="5"/>
      <w:sz w:val="22"/>
    </w:rPr>
  </w:style>
  <w:style w:type="character" w:customStyle="1" w:styleId="Heading5Char">
    <w:name w:val="Heading 5 Char"/>
    <w:basedOn w:val="DefaultParagraphFont"/>
    <w:link w:val="Heading5"/>
    <w:uiPriority w:val="9"/>
    <w:semiHidden/>
    <w:rsid w:val="00846D68"/>
    <w:rPr>
      <w:smallCaps/>
      <w:color w:val="943634" w:themeColor="accent2" w:themeShade="BF"/>
      <w:spacing w:val="10"/>
      <w:sz w:val="22"/>
      <w:szCs w:val="26"/>
    </w:rPr>
  </w:style>
  <w:style w:type="character" w:customStyle="1" w:styleId="Heading4Char">
    <w:name w:val="Heading 4 Char"/>
    <w:basedOn w:val="DefaultParagraphFont"/>
    <w:link w:val="Heading4"/>
    <w:uiPriority w:val="9"/>
    <w:semiHidden/>
    <w:rsid w:val="00846D68"/>
    <w:rPr>
      <w:smallCaps/>
      <w:spacing w:val="10"/>
      <w:sz w:val="22"/>
      <w:szCs w:val="22"/>
    </w:rPr>
  </w:style>
  <w:style w:type="character" w:customStyle="1" w:styleId="Heading3Char">
    <w:name w:val="Heading 3 Char"/>
    <w:basedOn w:val="DefaultParagraphFont"/>
    <w:link w:val="Heading3"/>
    <w:uiPriority w:val="9"/>
    <w:semiHidden/>
    <w:rsid w:val="00846D68"/>
    <w:rPr>
      <w:smallCaps/>
      <w:spacing w:val="5"/>
      <w:sz w:val="24"/>
      <w:szCs w:val="24"/>
    </w:rPr>
  </w:style>
  <w:style w:type="character" w:customStyle="1" w:styleId="Heading2Char">
    <w:name w:val="Heading 2 Char"/>
    <w:basedOn w:val="DefaultParagraphFont"/>
    <w:link w:val="Heading2"/>
    <w:uiPriority w:val="9"/>
    <w:semiHidden/>
    <w:rsid w:val="00846D68"/>
    <w:rPr>
      <w:smallCaps/>
      <w:spacing w:val="5"/>
      <w:sz w:val="28"/>
      <w:szCs w:val="28"/>
    </w:rPr>
  </w:style>
  <w:style w:type="character" w:customStyle="1" w:styleId="Heading1Char">
    <w:name w:val="Heading 1 Char"/>
    <w:basedOn w:val="DefaultParagraphFont"/>
    <w:link w:val="Heading1"/>
    <w:uiPriority w:val="9"/>
    <w:rsid w:val="00846D68"/>
    <w:rPr>
      <w:smallCaps/>
      <w:spacing w:val="5"/>
      <w:sz w:val="32"/>
      <w:szCs w:val="32"/>
    </w:rPr>
  </w:style>
  <w:style w:type="table" w:customStyle="1" w:styleId="TableGrid1">
    <w:name w:val="Table Grid1"/>
    <w:basedOn w:val="TableNormal"/>
    <w:next w:val="TableGrid"/>
    <w:uiPriority w:val="59"/>
    <w:rsid w:val="00846D68"/>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846D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846D68"/>
    <w:pPr>
      <w:spacing w:after="200" w:line="276" w:lineRule="auto"/>
      <w:jc w:val="both"/>
    </w:pPr>
    <w:rPr>
      <w:rFonts w:asciiTheme="minorHAnsi" w:eastAsiaTheme="minorEastAsia" w:hAnsiTheme="minorHAnsi" w:cstheme="minorBidi"/>
      <w:b/>
      <w:bCs/>
      <w:caps/>
      <w:sz w:val="16"/>
      <w:szCs w:val="18"/>
    </w:rPr>
  </w:style>
  <w:style w:type="paragraph" w:styleId="Title">
    <w:name w:val="Title"/>
    <w:basedOn w:val="Normal"/>
    <w:next w:val="Normal"/>
    <w:link w:val="TitleChar"/>
    <w:uiPriority w:val="10"/>
    <w:qFormat/>
    <w:rsid w:val="00846D68"/>
    <w:pPr>
      <w:pBdr>
        <w:top w:val="single" w:sz="12" w:space="1" w:color="C0504D" w:themeColor="accent2"/>
      </w:pBdr>
      <w:spacing w:after="200"/>
      <w:jc w:val="right"/>
    </w:pPr>
    <w:rPr>
      <w:rFonts w:asciiTheme="minorHAnsi" w:eastAsiaTheme="minorEastAsia" w:hAnsiTheme="minorHAnsi" w:cstheme="minorBidi"/>
      <w:smallCaps/>
      <w:sz w:val="48"/>
      <w:szCs w:val="48"/>
    </w:rPr>
  </w:style>
  <w:style w:type="character" w:customStyle="1" w:styleId="TitleChar">
    <w:name w:val="Title Char"/>
    <w:basedOn w:val="DefaultParagraphFont"/>
    <w:link w:val="Title"/>
    <w:uiPriority w:val="10"/>
    <w:rsid w:val="00846D68"/>
    <w:rPr>
      <w:smallCaps/>
      <w:sz w:val="48"/>
      <w:szCs w:val="48"/>
    </w:rPr>
  </w:style>
  <w:style w:type="paragraph" w:styleId="Subtitle">
    <w:name w:val="Subtitle"/>
    <w:basedOn w:val="Normal"/>
    <w:next w:val="Normal"/>
    <w:link w:val="SubtitleChar"/>
    <w:uiPriority w:val="11"/>
    <w:qFormat/>
    <w:rsid w:val="00846D68"/>
    <w:pPr>
      <w:spacing w:after="720"/>
      <w:jc w:val="right"/>
    </w:pPr>
    <w:rPr>
      <w:rFonts w:asciiTheme="majorHAnsi" w:eastAsiaTheme="majorEastAsia" w:hAnsiTheme="majorHAnsi" w:cstheme="majorBidi"/>
      <w:sz w:val="20"/>
      <w:szCs w:val="22"/>
    </w:rPr>
  </w:style>
  <w:style w:type="character" w:customStyle="1" w:styleId="SubtitleChar">
    <w:name w:val="Subtitle Char"/>
    <w:basedOn w:val="DefaultParagraphFont"/>
    <w:link w:val="Subtitle"/>
    <w:uiPriority w:val="11"/>
    <w:rsid w:val="00846D68"/>
    <w:rPr>
      <w:rFonts w:asciiTheme="majorHAnsi" w:eastAsiaTheme="majorEastAsia" w:hAnsiTheme="majorHAnsi" w:cstheme="majorBidi"/>
      <w:szCs w:val="22"/>
    </w:rPr>
  </w:style>
  <w:style w:type="character" w:styleId="Strong">
    <w:name w:val="Strong"/>
    <w:uiPriority w:val="22"/>
    <w:qFormat/>
    <w:rsid w:val="00846D68"/>
    <w:rPr>
      <w:b/>
      <w:color w:val="C0504D" w:themeColor="accent2"/>
    </w:rPr>
  </w:style>
  <w:style w:type="paragraph" w:styleId="NoSpacing">
    <w:name w:val="No Spacing"/>
    <w:basedOn w:val="Normal"/>
    <w:link w:val="NoSpacingChar"/>
    <w:uiPriority w:val="1"/>
    <w:qFormat/>
    <w:rsid w:val="00846D68"/>
    <w:pPr>
      <w:jc w:val="both"/>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846D68"/>
  </w:style>
  <w:style w:type="paragraph" w:styleId="Quote">
    <w:name w:val="Quote"/>
    <w:basedOn w:val="Normal"/>
    <w:next w:val="Normal"/>
    <w:link w:val="QuoteChar"/>
    <w:uiPriority w:val="29"/>
    <w:qFormat/>
    <w:rsid w:val="00846D68"/>
    <w:pPr>
      <w:spacing w:after="200" w:line="276" w:lineRule="auto"/>
      <w:jc w:val="both"/>
    </w:pPr>
    <w:rPr>
      <w:rFonts w:asciiTheme="minorHAnsi" w:eastAsiaTheme="minorEastAsia" w:hAnsiTheme="minorHAnsi" w:cstheme="minorBidi"/>
      <w:i/>
      <w:sz w:val="20"/>
      <w:szCs w:val="20"/>
    </w:rPr>
  </w:style>
  <w:style w:type="character" w:customStyle="1" w:styleId="QuoteChar">
    <w:name w:val="Quote Char"/>
    <w:basedOn w:val="DefaultParagraphFont"/>
    <w:link w:val="Quote"/>
    <w:uiPriority w:val="29"/>
    <w:rsid w:val="00846D68"/>
    <w:rPr>
      <w:i/>
    </w:rPr>
  </w:style>
  <w:style w:type="paragraph" w:styleId="IntenseQuote">
    <w:name w:val="Intense Quote"/>
    <w:basedOn w:val="Normal"/>
    <w:next w:val="Normal"/>
    <w:link w:val="IntenseQuoteChar"/>
    <w:uiPriority w:val="30"/>
    <w:qFormat/>
    <w:rsid w:val="00846D68"/>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line="276" w:lineRule="auto"/>
      <w:ind w:left="1440" w:right="1440"/>
      <w:jc w:val="both"/>
    </w:pPr>
    <w:rPr>
      <w:rFonts w:asciiTheme="minorHAnsi" w:eastAsiaTheme="minorEastAsia" w:hAnsiTheme="minorHAnsi" w:cstheme="minorBidi"/>
      <w:b/>
      <w:i/>
      <w:color w:val="FFFFFF" w:themeColor="background1"/>
      <w:sz w:val="20"/>
      <w:szCs w:val="20"/>
    </w:rPr>
  </w:style>
  <w:style w:type="character" w:customStyle="1" w:styleId="IntenseQuoteChar">
    <w:name w:val="Intense Quote Char"/>
    <w:basedOn w:val="DefaultParagraphFont"/>
    <w:link w:val="IntenseQuote"/>
    <w:uiPriority w:val="30"/>
    <w:rsid w:val="00846D68"/>
    <w:rPr>
      <w:b/>
      <w:i/>
      <w:color w:val="FFFFFF" w:themeColor="background1"/>
      <w:shd w:val="clear" w:color="auto" w:fill="C0504D" w:themeFill="accent2"/>
    </w:rPr>
  </w:style>
  <w:style w:type="character" w:styleId="SubtleEmphasis">
    <w:name w:val="Subtle Emphasis"/>
    <w:uiPriority w:val="19"/>
    <w:qFormat/>
    <w:rsid w:val="00846D68"/>
    <w:rPr>
      <w:i/>
    </w:rPr>
  </w:style>
  <w:style w:type="character" w:styleId="IntenseEmphasis">
    <w:name w:val="Intense Emphasis"/>
    <w:uiPriority w:val="21"/>
    <w:qFormat/>
    <w:rsid w:val="00846D68"/>
    <w:rPr>
      <w:b/>
      <w:i/>
      <w:color w:val="C0504D" w:themeColor="accent2"/>
      <w:spacing w:val="10"/>
    </w:rPr>
  </w:style>
  <w:style w:type="character" w:styleId="SubtleReference">
    <w:name w:val="Subtle Reference"/>
    <w:uiPriority w:val="31"/>
    <w:qFormat/>
    <w:rsid w:val="00846D68"/>
    <w:rPr>
      <w:b/>
    </w:rPr>
  </w:style>
  <w:style w:type="character" w:styleId="IntenseReference">
    <w:name w:val="Intense Reference"/>
    <w:uiPriority w:val="32"/>
    <w:qFormat/>
    <w:rsid w:val="00846D68"/>
    <w:rPr>
      <w:b/>
      <w:bCs/>
      <w:smallCaps/>
      <w:spacing w:val="5"/>
      <w:sz w:val="22"/>
      <w:szCs w:val="22"/>
      <w:u w:val="single"/>
    </w:rPr>
  </w:style>
  <w:style w:type="character" w:styleId="BookTitle">
    <w:name w:val="Book Title"/>
    <w:uiPriority w:val="33"/>
    <w:qFormat/>
    <w:rsid w:val="00846D68"/>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846D68"/>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1807">
      <w:bodyDiv w:val="1"/>
      <w:marLeft w:val="0"/>
      <w:marRight w:val="0"/>
      <w:marTop w:val="0"/>
      <w:marBottom w:val="0"/>
      <w:divBdr>
        <w:top w:val="none" w:sz="0" w:space="0" w:color="auto"/>
        <w:left w:val="none" w:sz="0" w:space="0" w:color="auto"/>
        <w:bottom w:val="none" w:sz="0" w:space="0" w:color="auto"/>
        <w:right w:val="none" w:sz="0" w:space="0" w:color="auto"/>
      </w:divBdr>
      <w:divsChild>
        <w:div w:id="514154026">
          <w:marLeft w:val="0"/>
          <w:marRight w:val="0"/>
          <w:marTop w:val="0"/>
          <w:marBottom w:val="0"/>
          <w:divBdr>
            <w:top w:val="none" w:sz="0" w:space="0" w:color="auto"/>
            <w:left w:val="none" w:sz="0" w:space="0" w:color="auto"/>
            <w:bottom w:val="none" w:sz="0" w:space="0" w:color="auto"/>
            <w:right w:val="none" w:sz="0" w:space="0" w:color="auto"/>
          </w:divBdr>
          <w:divsChild>
            <w:div w:id="485971395">
              <w:marLeft w:val="0"/>
              <w:marRight w:val="0"/>
              <w:marTop w:val="0"/>
              <w:marBottom w:val="0"/>
              <w:divBdr>
                <w:top w:val="none" w:sz="0" w:space="0" w:color="auto"/>
                <w:left w:val="none" w:sz="0" w:space="0" w:color="auto"/>
                <w:bottom w:val="none" w:sz="0" w:space="0" w:color="auto"/>
                <w:right w:val="none" w:sz="0" w:space="0" w:color="auto"/>
              </w:divBdr>
              <w:divsChild>
                <w:div w:id="322508315">
                  <w:marLeft w:val="0"/>
                  <w:marRight w:val="0"/>
                  <w:marTop w:val="0"/>
                  <w:marBottom w:val="0"/>
                  <w:divBdr>
                    <w:top w:val="none" w:sz="0" w:space="0" w:color="auto"/>
                    <w:left w:val="none" w:sz="0" w:space="0" w:color="auto"/>
                    <w:bottom w:val="none" w:sz="0" w:space="0" w:color="auto"/>
                    <w:right w:val="none" w:sz="0" w:space="0" w:color="auto"/>
                  </w:divBdr>
                </w:div>
              </w:divsChild>
            </w:div>
            <w:div w:id="1321350532">
              <w:marLeft w:val="0"/>
              <w:marRight w:val="0"/>
              <w:marTop w:val="0"/>
              <w:marBottom w:val="0"/>
              <w:divBdr>
                <w:top w:val="none" w:sz="0" w:space="0" w:color="auto"/>
                <w:left w:val="none" w:sz="0" w:space="0" w:color="auto"/>
                <w:bottom w:val="none" w:sz="0" w:space="0" w:color="auto"/>
                <w:right w:val="none" w:sz="0" w:space="0" w:color="auto"/>
              </w:divBdr>
            </w:div>
            <w:div w:id="1349671434">
              <w:marLeft w:val="0"/>
              <w:marRight w:val="0"/>
              <w:marTop w:val="240"/>
              <w:marBottom w:val="0"/>
              <w:divBdr>
                <w:top w:val="none" w:sz="0" w:space="0" w:color="auto"/>
                <w:left w:val="none" w:sz="0" w:space="0" w:color="auto"/>
                <w:bottom w:val="none" w:sz="0" w:space="0" w:color="auto"/>
                <w:right w:val="none" w:sz="0" w:space="0" w:color="auto"/>
              </w:divBdr>
              <w:divsChild>
                <w:div w:id="95513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72411">
      <w:bodyDiv w:val="1"/>
      <w:marLeft w:val="0"/>
      <w:marRight w:val="0"/>
      <w:marTop w:val="0"/>
      <w:marBottom w:val="0"/>
      <w:divBdr>
        <w:top w:val="none" w:sz="0" w:space="0" w:color="auto"/>
        <w:left w:val="none" w:sz="0" w:space="0" w:color="auto"/>
        <w:bottom w:val="none" w:sz="0" w:space="0" w:color="auto"/>
        <w:right w:val="none" w:sz="0" w:space="0" w:color="auto"/>
      </w:divBdr>
      <w:divsChild>
        <w:div w:id="69038191">
          <w:marLeft w:val="0"/>
          <w:marRight w:val="0"/>
          <w:marTop w:val="0"/>
          <w:marBottom w:val="0"/>
          <w:divBdr>
            <w:top w:val="none" w:sz="0" w:space="0" w:color="auto"/>
            <w:left w:val="none" w:sz="0" w:space="0" w:color="auto"/>
            <w:bottom w:val="none" w:sz="0" w:space="0" w:color="auto"/>
            <w:right w:val="none" w:sz="0" w:space="0" w:color="auto"/>
          </w:divBdr>
          <w:divsChild>
            <w:div w:id="93528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183739">
      <w:bodyDiv w:val="1"/>
      <w:marLeft w:val="0"/>
      <w:marRight w:val="0"/>
      <w:marTop w:val="0"/>
      <w:marBottom w:val="0"/>
      <w:divBdr>
        <w:top w:val="none" w:sz="0" w:space="0" w:color="auto"/>
        <w:left w:val="none" w:sz="0" w:space="0" w:color="auto"/>
        <w:bottom w:val="none" w:sz="0" w:space="0" w:color="auto"/>
        <w:right w:val="none" w:sz="0" w:space="0" w:color="auto"/>
      </w:divBdr>
      <w:divsChild>
        <w:div w:id="959872283">
          <w:marLeft w:val="0"/>
          <w:marRight w:val="0"/>
          <w:marTop w:val="0"/>
          <w:marBottom w:val="0"/>
          <w:divBdr>
            <w:top w:val="none" w:sz="0" w:space="0" w:color="auto"/>
            <w:left w:val="none" w:sz="0" w:space="0" w:color="auto"/>
            <w:bottom w:val="none" w:sz="0" w:space="0" w:color="auto"/>
            <w:right w:val="none" w:sz="0" w:space="0" w:color="auto"/>
          </w:divBdr>
          <w:divsChild>
            <w:div w:id="2039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5283">
      <w:bodyDiv w:val="1"/>
      <w:marLeft w:val="0"/>
      <w:marRight w:val="0"/>
      <w:marTop w:val="0"/>
      <w:marBottom w:val="0"/>
      <w:divBdr>
        <w:top w:val="none" w:sz="0" w:space="0" w:color="auto"/>
        <w:left w:val="none" w:sz="0" w:space="0" w:color="auto"/>
        <w:bottom w:val="none" w:sz="0" w:space="0" w:color="auto"/>
        <w:right w:val="none" w:sz="0" w:space="0" w:color="auto"/>
      </w:divBdr>
      <w:divsChild>
        <w:div w:id="1007177761">
          <w:marLeft w:val="0"/>
          <w:marRight w:val="0"/>
          <w:marTop w:val="0"/>
          <w:marBottom w:val="0"/>
          <w:divBdr>
            <w:top w:val="none" w:sz="0" w:space="0" w:color="auto"/>
            <w:left w:val="none" w:sz="0" w:space="0" w:color="auto"/>
            <w:bottom w:val="none" w:sz="0" w:space="0" w:color="auto"/>
            <w:right w:val="none" w:sz="0" w:space="0" w:color="auto"/>
          </w:divBdr>
          <w:divsChild>
            <w:div w:id="97526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534856">
      <w:bodyDiv w:val="1"/>
      <w:marLeft w:val="0"/>
      <w:marRight w:val="0"/>
      <w:marTop w:val="0"/>
      <w:marBottom w:val="0"/>
      <w:divBdr>
        <w:top w:val="none" w:sz="0" w:space="0" w:color="auto"/>
        <w:left w:val="none" w:sz="0" w:space="0" w:color="auto"/>
        <w:bottom w:val="none" w:sz="0" w:space="0" w:color="auto"/>
        <w:right w:val="none" w:sz="0" w:space="0" w:color="auto"/>
      </w:divBdr>
      <w:divsChild>
        <w:div w:id="1191919725">
          <w:marLeft w:val="0"/>
          <w:marRight w:val="0"/>
          <w:marTop w:val="0"/>
          <w:marBottom w:val="0"/>
          <w:divBdr>
            <w:top w:val="none" w:sz="0" w:space="0" w:color="auto"/>
            <w:left w:val="none" w:sz="0" w:space="0" w:color="auto"/>
            <w:bottom w:val="none" w:sz="0" w:space="0" w:color="auto"/>
            <w:right w:val="none" w:sz="0" w:space="0" w:color="auto"/>
          </w:divBdr>
          <w:divsChild>
            <w:div w:id="79560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605156">
      <w:bodyDiv w:val="1"/>
      <w:marLeft w:val="0"/>
      <w:marRight w:val="0"/>
      <w:marTop w:val="0"/>
      <w:marBottom w:val="0"/>
      <w:divBdr>
        <w:top w:val="none" w:sz="0" w:space="0" w:color="auto"/>
        <w:left w:val="none" w:sz="0" w:space="0" w:color="auto"/>
        <w:bottom w:val="none" w:sz="0" w:space="0" w:color="auto"/>
        <w:right w:val="none" w:sz="0" w:space="0" w:color="auto"/>
      </w:divBdr>
      <w:divsChild>
        <w:div w:id="1745369166">
          <w:marLeft w:val="0"/>
          <w:marRight w:val="0"/>
          <w:marTop w:val="0"/>
          <w:marBottom w:val="0"/>
          <w:divBdr>
            <w:top w:val="none" w:sz="0" w:space="0" w:color="auto"/>
            <w:left w:val="none" w:sz="0" w:space="0" w:color="auto"/>
            <w:bottom w:val="none" w:sz="0" w:space="0" w:color="auto"/>
            <w:right w:val="none" w:sz="0" w:space="0" w:color="auto"/>
          </w:divBdr>
          <w:divsChild>
            <w:div w:id="71050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07591">
      <w:bodyDiv w:val="1"/>
      <w:marLeft w:val="0"/>
      <w:marRight w:val="0"/>
      <w:marTop w:val="0"/>
      <w:marBottom w:val="0"/>
      <w:divBdr>
        <w:top w:val="none" w:sz="0" w:space="0" w:color="auto"/>
        <w:left w:val="none" w:sz="0" w:space="0" w:color="auto"/>
        <w:bottom w:val="none" w:sz="0" w:space="0" w:color="auto"/>
        <w:right w:val="none" w:sz="0" w:space="0" w:color="auto"/>
      </w:divBdr>
      <w:divsChild>
        <w:div w:id="1928347510">
          <w:marLeft w:val="0"/>
          <w:marRight w:val="0"/>
          <w:marTop w:val="0"/>
          <w:marBottom w:val="0"/>
          <w:divBdr>
            <w:top w:val="none" w:sz="0" w:space="0" w:color="auto"/>
            <w:left w:val="none" w:sz="0" w:space="0" w:color="auto"/>
            <w:bottom w:val="none" w:sz="0" w:space="0" w:color="auto"/>
            <w:right w:val="none" w:sz="0" w:space="0" w:color="auto"/>
          </w:divBdr>
          <w:divsChild>
            <w:div w:id="182512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9272">
      <w:bodyDiv w:val="1"/>
      <w:marLeft w:val="0"/>
      <w:marRight w:val="0"/>
      <w:marTop w:val="0"/>
      <w:marBottom w:val="0"/>
      <w:divBdr>
        <w:top w:val="none" w:sz="0" w:space="0" w:color="auto"/>
        <w:left w:val="none" w:sz="0" w:space="0" w:color="auto"/>
        <w:bottom w:val="none" w:sz="0" w:space="0" w:color="auto"/>
        <w:right w:val="none" w:sz="0" w:space="0" w:color="auto"/>
      </w:divBdr>
    </w:div>
    <w:div w:id="976255259">
      <w:bodyDiv w:val="1"/>
      <w:marLeft w:val="0"/>
      <w:marRight w:val="0"/>
      <w:marTop w:val="0"/>
      <w:marBottom w:val="0"/>
      <w:divBdr>
        <w:top w:val="none" w:sz="0" w:space="0" w:color="auto"/>
        <w:left w:val="none" w:sz="0" w:space="0" w:color="auto"/>
        <w:bottom w:val="none" w:sz="0" w:space="0" w:color="auto"/>
        <w:right w:val="none" w:sz="0" w:space="0" w:color="auto"/>
      </w:divBdr>
      <w:divsChild>
        <w:div w:id="1000693054">
          <w:marLeft w:val="0"/>
          <w:marRight w:val="0"/>
          <w:marTop w:val="0"/>
          <w:marBottom w:val="0"/>
          <w:divBdr>
            <w:top w:val="none" w:sz="0" w:space="0" w:color="auto"/>
            <w:left w:val="none" w:sz="0" w:space="0" w:color="auto"/>
            <w:bottom w:val="none" w:sz="0" w:space="0" w:color="auto"/>
            <w:right w:val="none" w:sz="0" w:space="0" w:color="auto"/>
          </w:divBdr>
          <w:divsChild>
            <w:div w:id="2772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87929">
      <w:bodyDiv w:val="1"/>
      <w:marLeft w:val="0"/>
      <w:marRight w:val="0"/>
      <w:marTop w:val="0"/>
      <w:marBottom w:val="0"/>
      <w:divBdr>
        <w:top w:val="none" w:sz="0" w:space="0" w:color="auto"/>
        <w:left w:val="none" w:sz="0" w:space="0" w:color="auto"/>
        <w:bottom w:val="none" w:sz="0" w:space="0" w:color="auto"/>
        <w:right w:val="none" w:sz="0" w:space="0" w:color="auto"/>
      </w:divBdr>
      <w:divsChild>
        <w:div w:id="1564678064">
          <w:marLeft w:val="0"/>
          <w:marRight w:val="0"/>
          <w:marTop w:val="0"/>
          <w:marBottom w:val="0"/>
          <w:divBdr>
            <w:top w:val="none" w:sz="0" w:space="0" w:color="auto"/>
            <w:left w:val="none" w:sz="0" w:space="0" w:color="auto"/>
            <w:bottom w:val="none" w:sz="0" w:space="0" w:color="auto"/>
            <w:right w:val="none" w:sz="0" w:space="0" w:color="auto"/>
          </w:divBdr>
          <w:divsChild>
            <w:div w:id="137431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274240">
      <w:bodyDiv w:val="1"/>
      <w:marLeft w:val="0"/>
      <w:marRight w:val="0"/>
      <w:marTop w:val="0"/>
      <w:marBottom w:val="0"/>
      <w:divBdr>
        <w:top w:val="none" w:sz="0" w:space="0" w:color="auto"/>
        <w:left w:val="none" w:sz="0" w:space="0" w:color="auto"/>
        <w:bottom w:val="none" w:sz="0" w:space="0" w:color="auto"/>
        <w:right w:val="none" w:sz="0" w:space="0" w:color="auto"/>
      </w:divBdr>
    </w:div>
    <w:div w:id="1139957424">
      <w:bodyDiv w:val="1"/>
      <w:marLeft w:val="0"/>
      <w:marRight w:val="0"/>
      <w:marTop w:val="0"/>
      <w:marBottom w:val="0"/>
      <w:divBdr>
        <w:top w:val="none" w:sz="0" w:space="0" w:color="auto"/>
        <w:left w:val="none" w:sz="0" w:space="0" w:color="auto"/>
        <w:bottom w:val="none" w:sz="0" w:space="0" w:color="auto"/>
        <w:right w:val="none" w:sz="0" w:space="0" w:color="auto"/>
      </w:divBdr>
      <w:divsChild>
        <w:div w:id="328754885">
          <w:marLeft w:val="0"/>
          <w:marRight w:val="0"/>
          <w:marTop w:val="0"/>
          <w:marBottom w:val="0"/>
          <w:divBdr>
            <w:top w:val="none" w:sz="0" w:space="0" w:color="auto"/>
            <w:left w:val="none" w:sz="0" w:space="0" w:color="auto"/>
            <w:bottom w:val="none" w:sz="0" w:space="0" w:color="auto"/>
            <w:right w:val="none" w:sz="0" w:space="0" w:color="auto"/>
          </w:divBdr>
          <w:divsChild>
            <w:div w:id="43864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4964">
      <w:bodyDiv w:val="1"/>
      <w:marLeft w:val="0"/>
      <w:marRight w:val="0"/>
      <w:marTop w:val="0"/>
      <w:marBottom w:val="0"/>
      <w:divBdr>
        <w:top w:val="none" w:sz="0" w:space="0" w:color="auto"/>
        <w:left w:val="none" w:sz="0" w:space="0" w:color="auto"/>
        <w:bottom w:val="none" w:sz="0" w:space="0" w:color="auto"/>
        <w:right w:val="none" w:sz="0" w:space="0" w:color="auto"/>
      </w:divBdr>
      <w:divsChild>
        <w:div w:id="67843858">
          <w:marLeft w:val="0"/>
          <w:marRight w:val="0"/>
          <w:marTop w:val="0"/>
          <w:marBottom w:val="0"/>
          <w:divBdr>
            <w:top w:val="none" w:sz="0" w:space="0" w:color="auto"/>
            <w:left w:val="none" w:sz="0" w:space="0" w:color="auto"/>
            <w:bottom w:val="none" w:sz="0" w:space="0" w:color="auto"/>
            <w:right w:val="none" w:sz="0" w:space="0" w:color="auto"/>
          </w:divBdr>
          <w:divsChild>
            <w:div w:id="71508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048567">
      <w:bodyDiv w:val="1"/>
      <w:marLeft w:val="0"/>
      <w:marRight w:val="0"/>
      <w:marTop w:val="0"/>
      <w:marBottom w:val="0"/>
      <w:divBdr>
        <w:top w:val="none" w:sz="0" w:space="0" w:color="auto"/>
        <w:left w:val="none" w:sz="0" w:space="0" w:color="auto"/>
        <w:bottom w:val="none" w:sz="0" w:space="0" w:color="auto"/>
        <w:right w:val="none" w:sz="0" w:space="0" w:color="auto"/>
      </w:divBdr>
      <w:divsChild>
        <w:div w:id="1006593323">
          <w:marLeft w:val="0"/>
          <w:marRight w:val="0"/>
          <w:marTop w:val="0"/>
          <w:marBottom w:val="0"/>
          <w:divBdr>
            <w:top w:val="none" w:sz="0" w:space="0" w:color="auto"/>
            <w:left w:val="none" w:sz="0" w:space="0" w:color="auto"/>
            <w:bottom w:val="none" w:sz="0" w:space="0" w:color="auto"/>
            <w:right w:val="none" w:sz="0" w:space="0" w:color="auto"/>
          </w:divBdr>
          <w:divsChild>
            <w:div w:id="1673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024149">
      <w:bodyDiv w:val="1"/>
      <w:marLeft w:val="0"/>
      <w:marRight w:val="0"/>
      <w:marTop w:val="0"/>
      <w:marBottom w:val="0"/>
      <w:divBdr>
        <w:top w:val="none" w:sz="0" w:space="0" w:color="auto"/>
        <w:left w:val="none" w:sz="0" w:space="0" w:color="auto"/>
        <w:bottom w:val="none" w:sz="0" w:space="0" w:color="auto"/>
        <w:right w:val="none" w:sz="0" w:space="0" w:color="auto"/>
      </w:divBdr>
      <w:divsChild>
        <w:div w:id="1506896172">
          <w:marLeft w:val="0"/>
          <w:marRight w:val="0"/>
          <w:marTop w:val="0"/>
          <w:marBottom w:val="0"/>
          <w:divBdr>
            <w:top w:val="none" w:sz="0" w:space="0" w:color="auto"/>
            <w:left w:val="none" w:sz="0" w:space="0" w:color="auto"/>
            <w:bottom w:val="none" w:sz="0" w:space="0" w:color="auto"/>
            <w:right w:val="none" w:sz="0" w:space="0" w:color="auto"/>
          </w:divBdr>
          <w:divsChild>
            <w:div w:id="149029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861708">
      <w:bodyDiv w:val="1"/>
      <w:marLeft w:val="0"/>
      <w:marRight w:val="0"/>
      <w:marTop w:val="0"/>
      <w:marBottom w:val="0"/>
      <w:divBdr>
        <w:top w:val="none" w:sz="0" w:space="0" w:color="auto"/>
        <w:left w:val="none" w:sz="0" w:space="0" w:color="auto"/>
        <w:bottom w:val="none" w:sz="0" w:space="0" w:color="auto"/>
        <w:right w:val="none" w:sz="0" w:space="0" w:color="auto"/>
      </w:divBdr>
    </w:div>
    <w:div w:id="1621493371">
      <w:bodyDiv w:val="1"/>
      <w:marLeft w:val="0"/>
      <w:marRight w:val="0"/>
      <w:marTop w:val="0"/>
      <w:marBottom w:val="0"/>
      <w:divBdr>
        <w:top w:val="none" w:sz="0" w:space="0" w:color="auto"/>
        <w:left w:val="none" w:sz="0" w:space="0" w:color="auto"/>
        <w:bottom w:val="none" w:sz="0" w:space="0" w:color="auto"/>
        <w:right w:val="none" w:sz="0" w:space="0" w:color="auto"/>
      </w:divBdr>
    </w:div>
    <w:div w:id="2020693404">
      <w:bodyDiv w:val="1"/>
      <w:marLeft w:val="0"/>
      <w:marRight w:val="0"/>
      <w:marTop w:val="0"/>
      <w:marBottom w:val="0"/>
      <w:divBdr>
        <w:top w:val="none" w:sz="0" w:space="0" w:color="auto"/>
        <w:left w:val="none" w:sz="0" w:space="0" w:color="auto"/>
        <w:bottom w:val="none" w:sz="0" w:space="0" w:color="auto"/>
        <w:right w:val="none" w:sz="0" w:space="0" w:color="auto"/>
      </w:divBdr>
      <w:divsChild>
        <w:div w:id="2064525308">
          <w:marLeft w:val="0"/>
          <w:marRight w:val="0"/>
          <w:marTop w:val="0"/>
          <w:marBottom w:val="0"/>
          <w:divBdr>
            <w:top w:val="none" w:sz="0" w:space="0" w:color="auto"/>
            <w:left w:val="none" w:sz="0" w:space="0" w:color="auto"/>
            <w:bottom w:val="none" w:sz="0" w:space="0" w:color="auto"/>
            <w:right w:val="none" w:sz="0" w:space="0" w:color="auto"/>
          </w:divBdr>
          <w:divsChild>
            <w:div w:id="109794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061960">
      <w:bodyDiv w:val="1"/>
      <w:marLeft w:val="0"/>
      <w:marRight w:val="0"/>
      <w:marTop w:val="0"/>
      <w:marBottom w:val="0"/>
      <w:divBdr>
        <w:top w:val="none" w:sz="0" w:space="0" w:color="auto"/>
        <w:left w:val="none" w:sz="0" w:space="0" w:color="auto"/>
        <w:bottom w:val="none" w:sz="0" w:space="0" w:color="auto"/>
        <w:right w:val="none" w:sz="0" w:space="0" w:color="auto"/>
      </w:divBdr>
      <w:divsChild>
        <w:div w:id="297955209">
          <w:marLeft w:val="0"/>
          <w:marRight w:val="0"/>
          <w:marTop w:val="0"/>
          <w:marBottom w:val="0"/>
          <w:divBdr>
            <w:top w:val="none" w:sz="0" w:space="0" w:color="auto"/>
            <w:left w:val="none" w:sz="0" w:space="0" w:color="auto"/>
            <w:bottom w:val="none" w:sz="0" w:space="0" w:color="auto"/>
            <w:right w:val="none" w:sz="0" w:space="0" w:color="auto"/>
          </w:divBdr>
          <w:divsChild>
            <w:div w:id="85315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6E7C0-B4E7-E446-8E37-B3836B3A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4955</Words>
  <Characters>24478</Characters>
  <Application>Microsoft Macintosh Word</Application>
  <DocSecurity>0</DocSecurity>
  <Lines>370</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29366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2012-03-19T19:43:00Z</cp:lastPrinted>
  <dcterms:created xsi:type="dcterms:W3CDTF">2012-04-15T13:59:00Z</dcterms:created>
  <dcterms:modified xsi:type="dcterms:W3CDTF">2012-06-02T13:08:00Z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f3de790e-8927-4e01-8bf0-ade98f1c0483</vt:lpwstr>
  </property>
  <property fmtid="{D5CDD505-2E9C-101B-9397-08002B2CF9AE}" pid="3" name="DocumentToolsEventId">
    <vt:lpwstr>4483a240-3de9-40fd-bb25-28b539777c96</vt:lpwstr>
  </property>
</Properties>
</file>